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9B1553" w14:textId="3D3CB1DE" w:rsidR="00947779" w:rsidRPr="00947779" w:rsidRDefault="00947779" w:rsidP="00947779">
      <w:pPr>
        <w:spacing w:after="0" w:line="240" w:lineRule="auto"/>
        <w:jc w:val="center"/>
        <w:rPr>
          <w:rFonts w:ascii="Century Schoolbook" w:hAnsi="Century Schoolbook"/>
          <w:b/>
          <w:bCs/>
          <w:sz w:val="24"/>
          <w:szCs w:val="24"/>
        </w:rPr>
      </w:pPr>
      <w:r w:rsidRPr="00947779">
        <w:rPr>
          <w:rFonts w:ascii="Century Schoolbook" w:hAnsi="Century Schoolbook"/>
          <w:b/>
          <w:bCs/>
          <w:sz w:val="24"/>
          <w:szCs w:val="24"/>
        </w:rPr>
        <w:t xml:space="preserve">JUDGE ALEXAKIS’ </w:t>
      </w:r>
      <w:r w:rsidR="004B0A85" w:rsidRPr="004B0A85">
        <w:rPr>
          <w:rFonts w:ascii="Century Schoolbook" w:hAnsi="Century Schoolbook"/>
          <w:b/>
          <w:bCs/>
          <w:sz w:val="24"/>
          <w:szCs w:val="24"/>
        </w:rPr>
        <w:t>STANDING ORDER</w:t>
      </w:r>
    </w:p>
    <w:p w14:paraId="305E8DB6" w14:textId="2083FCC2" w:rsidR="004B0A85" w:rsidRPr="004B0A85" w:rsidRDefault="004B0A85" w:rsidP="00947779">
      <w:pPr>
        <w:spacing w:after="0" w:line="240" w:lineRule="auto"/>
        <w:jc w:val="center"/>
        <w:rPr>
          <w:rFonts w:ascii="Century Schoolbook" w:hAnsi="Century Schoolbook"/>
          <w:b/>
          <w:bCs/>
          <w:sz w:val="24"/>
          <w:szCs w:val="24"/>
        </w:rPr>
      </w:pPr>
      <w:r w:rsidRPr="004B0A85">
        <w:rPr>
          <w:rFonts w:ascii="Century Schoolbook" w:hAnsi="Century Schoolbook"/>
          <w:b/>
          <w:bCs/>
          <w:sz w:val="24"/>
          <w:szCs w:val="24"/>
        </w:rPr>
        <w:t>GOVERNING PROPOSED PRETRIAL ORDERS</w:t>
      </w:r>
      <w:r w:rsidR="00947779" w:rsidRPr="00947779">
        <w:rPr>
          <w:rFonts w:ascii="Century Schoolbook" w:hAnsi="Century Schoolbook"/>
          <w:b/>
          <w:bCs/>
          <w:sz w:val="24"/>
          <w:szCs w:val="24"/>
        </w:rPr>
        <w:t xml:space="preserve"> (CIVIL CASES)</w:t>
      </w:r>
    </w:p>
    <w:p w14:paraId="579EC689" w14:textId="77777777" w:rsidR="00947779" w:rsidRDefault="00947779" w:rsidP="00947779">
      <w:pPr>
        <w:spacing w:after="0" w:line="240" w:lineRule="auto"/>
        <w:jc w:val="both"/>
        <w:rPr>
          <w:rFonts w:ascii="Century Schoolbook" w:hAnsi="Century Schoolbook"/>
          <w:sz w:val="24"/>
          <w:szCs w:val="24"/>
        </w:rPr>
      </w:pPr>
    </w:p>
    <w:p w14:paraId="74C2A48D" w14:textId="229D7E28" w:rsidR="0021471B" w:rsidRDefault="0021471B" w:rsidP="0021471B">
      <w:pPr>
        <w:spacing w:after="0" w:line="240" w:lineRule="auto"/>
        <w:ind w:firstLine="720"/>
        <w:jc w:val="both"/>
        <w:rPr>
          <w:rFonts w:ascii="Century Schoolbook" w:hAnsi="Century Schoolbook"/>
          <w:sz w:val="24"/>
          <w:szCs w:val="24"/>
        </w:rPr>
      </w:pPr>
      <w:r w:rsidRPr="004B0A85">
        <w:rPr>
          <w:rFonts w:ascii="Century Schoolbook" w:hAnsi="Century Schoolbook"/>
          <w:sz w:val="24"/>
          <w:szCs w:val="24"/>
        </w:rPr>
        <w:t xml:space="preserve">This Standing Order sets forth the requirements that the parties must meet in submitting a Proposed Pretrial Order for </w:t>
      </w:r>
      <w:r w:rsidR="006D0C0C">
        <w:rPr>
          <w:rFonts w:ascii="Century Schoolbook" w:hAnsi="Century Schoolbook"/>
          <w:sz w:val="24"/>
          <w:szCs w:val="24"/>
        </w:rPr>
        <w:t xml:space="preserve">Judge Alexakis’ </w:t>
      </w:r>
      <w:r w:rsidRPr="004B0A85">
        <w:rPr>
          <w:rFonts w:ascii="Century Schoolbook" w:hAnsi="Century Schoolbook"/>
          <w:sz w:val="24"/>
          <w:szCs w:val="24"/>
        </w:rPr>
        <w:t>consideration</w:t>
      </w:r>
      <w:r>
        <w:rPr>
          <w:rFonts w:ascii="Century Schoolbook" w:hAnsi="Century Schoolbook"/>
          <w:sz w:val="24"/>
          <w:szCs w:val="24"/>
        </w:rPr>
        <w:t xml:space="preserve"> in advance of the final pretrial conference. </w:t>
      </w:r>
    </w:p>
    <w:p w14:paraId="42169684" w14:textId="77777777" w:rsidR="0021471B" w:rsidRDefault="0021471B" w:rsidP="00240DB3">
      <w:pPr>
        <w:spacing w:after="0" w:line="240" w:lineRule="auto"/>
        <w:ind w:firstLine="720"/>
        <w:jc w:val="both"/>
        <w:rPr>
          <w:rFonts w:ascii="Century Schoolbook" w:hAnsi="Century Schoolbook"/>
          <w:sz w:val="24"/>
          <w:szCs w:val="24"/>
        </w:rPr>
      </w:pPr>
    </w:p>
    <w:p w14:paraId="1FA7DBEB" w14:textId="6A2FAD41" w:rsidR="00240DB3" w:rsidRDefault="00670BB2" w:rsidP="00240DB3">
      <w:pPr>
        <w:spacing w:after="0" w:line="240" w:lineRule="auto"/>
        <w:ind w:firstLine="720"/>
        <w:jc w:val="both"/>
        <w:rPr>
          <w:rFonts w:ascii="Century Schoolbook" w:hAnsi="Century Schoolbook"/>
          <w:sz w:val="24"/>
          <w:szCs w:val="24"/>
        </w:rPr>
      </w:pPr>
      <w:r w:rsidRPr="004B0A85">
        <w:rPr>
          <w:rFonts w:ascii="Century Schoolbook" w:hAnsi="Century Schoolbook"/>
          <w:sz w:val="24"/>
          <w:szCs w:val="24"/>
        </w:rPr>
        <w:t xml:space="preserve">A final pretrial conference will be held approximately two weeks before </w:t>
      </w:r>
      <w:proofErr w:type="gramStart"/>
      <w:r w:rsidRPr="004B0A85">
        <w:rPr>
          <w:rFonts w:ascii="Century Schoolbook" w:hAnsi="Century Schoolbook"/>
          <w:sz w:val="24"/>
          <w:szCs w:val="24"/>
        </w:rPr>
        <w:t>trial</w:t>
      </w:r>
      <w:proofErr w:type="gramEnd"/>
      <w:r w:rsidRPr="004B0A85">
        <w:rPr>
          <w:rFonts w:ascii="Century Schoolbook" w:hAnsi="Century Schoolbook"/>
          <w:sz w:val="24"/>
          <w:szCs w:val="24"/>
        </w:rPr>
        <w:t>.</w:t>
      </w:r>
      <w:r>
        <w:rPr>
          <w:rFonts w:ascii="Century Schoolbook" w:hAnsi="Century Schoolbook"/>
          <w:sz w:val="24"/>
          <w:szCs w:val="24"/>
        </w:rPr>
        <w:t xml:space="preserve"> </w:t>
      </w:r>
      <w:r w:rsidR="00123DDC" w:rsidRPr="004B0A85">
        <w:rPr>
          <w:rFonts w:ascii="Century Schoolbook" w:hAnsi="Century Schoolbook"/>
          <w:sz w:val="24"/>
          <w:szCs w:val="24"/>
        </w:rPr>
        <w:t xml:space="preserve">The </w:t>
      </w:r>
      <w:r w:rsidR="00123DDC">
        <w:rPr>
          <w:rFonts w:ascii="Century Schoolbook" w:hAnsi="Century Schoolbook"/>
          <w:sz w:val="24"/>
          <w:szCs w:val="24"/>
        </w:rPr>
        <w:t>conference’s</w:t>
      </w:r>
      <w:r>
        <w:rPr>
          <w:rFonts w:ascii="Century Schoolbook" w:hAnsi="Century Schoolbook"/>
          <w:sz w:val="24"/>
          <w:szCs w:val="24"/>
        </w:rPr>
        <w:t xml:space="preserve"> </w:t>
      </w:r>
      <w:r w:rsidRPr="004B0A85">
        <w:rPr>
          <w:rFonts w:ascii="Century Schoolbook" w:hAnsi="Century Schoolbook"/>
          <w:sz w:val="24"/>
          <w:szCs w:val="24"/>
        </w:rPr>
        <w:t xml:space="preserve">purpose </w:t>
      </w:r>
      <w:r>
        <w:rPr>
          <w:rFonts w:ascii="Century Schoolbook" w:hAnsi="Century Schoolbook"/>
          <w:sz w:val="24"/>
          <w:szCs w:val="24"/>
        </w:rPr>
        <w:t xml:space="preserve">is </w:t>
      </w:r>
      <w:r w:rsidRPr="004B0A85">
        <w:rPr>
          <w:rFonts w:ascii="Century Schoolbook" w:hAnsi="Century Schoolbook"/>
          <w:sz w:val="24"/>
          <w:szCs w:val="24"/>
        </w:rPr>
        <w:t xml:space="preserve">to avoid surprises and </w:t>
      </w:r>
      <w:r w:rsidR="00123DDC">
        <w:rPr>
          <w:rFonts w:ascii="Century Schoolbook" w:hAnsi="Century Schoolbook"/>
          <w:sz w:val="24"/>
          <w:szCs w:val="24"/>
        </w:rPr>
        <w:t xml:space="preserve">to </w:t>
      </w:r>
      <w:r w:rsidRPr="004B0A85">
        <w:rPr>
          <w:rFonts w:ascii="Century Schoolbook" w:hAnsi="Century Schoolbook"/>
          <w:sz w:val="24"/>
          <w:szCs w:val="24"/>
        </w:rPr>
        <w:t>simplify the trial. At the</w:t>
      </w:r>
      <w:r>
        <w:rPr>
          <w:rFonts w:ascii="Century Schoolbook" w:hAnsi="Century Schoolbook"/>
          <w:sz w:val="24"/>
          <w:szCs w:val="24"/>
        </w:rPr>
        <w:t xml:space="preserve"> </w:t>
      </w:r>
      <w:r w:rsidRPr="004B0A85">
        <w:rPr>
          <w:rFonts w:ascii="Century Schoolbook" w:hAnsi="Century Schoolbook"/>
          <w:sz w:val="24"/>
          <w:szCs w:val="24"/>
        </w:rPr>
        <w:t>conference, the judge will address pending motions in limine, objections to witnesses and exhibits, and contested jury instructions</w:t>
      </w:r>
      <w:r w:rsidR="000B3D71">
        <w:rPr>
          <w:rFonts w:ascii="Century Schoolbook" w:hAnsi="Century Schoolbook"/>
          <w:sz w:val="24"/>
          <w:szCs w:val="24"/>
        </w:rPr>
        <w:t xml:space="preserve">; it </w:t>
      </w:r>
      <w:r w:rsidRPr="004B0A85">
        <w:rPr>
          <w:rFonts w:ascii="Century Schoolbook" w:hAnsi="Century Schoolbook"/>
          <w:sz w:val="24"/>
          <w:szCs w:val="24"/>
        </w:rPr>
        <w:t xml:space="preserve">will </w:t>
      </w:r>
      <w:r w:rsidR="000B3D71">
        <w:rPr>
          <w:rFonts w:ascii="Century Schoolbook" w:hAnsi="Century Schoolbook"/>
          <w:sz w:val="24"/>
          <w:szCs w:val="24"/>
        </w:rPr>
        <w:t xml:space="preserve">also </w:t>
      </w:r>
      <w:r w:rsidRPr="004B0A85">
        <w:rPr>
          <w:rFonts w:ascii="Century Schoolbook" w:hAnsi="Century Schoolbook"/>
          <w:sz w:val="24"/>
          <w:szCs w:val="24"/>
        </w:rPr>
        <w:t xml:space="preserve">discuss trial procedures and scheduling, including alternate arrangements for witnesses who will not testify in person. Lead trial counsel with authority to discuss all aspects of the case must attend. </w:t>
      </w:r>
    </w:p>
    <w:p w14:paraId="397F8766" w14:textId="77777777" w:rsidR="000B3D71" w:rsidRDefault="000B3D71" w:rsidP="0021471B">
      <w:pPr>
        <w:spacing w:after="0" w:line="240" w:lineRule="auto"/>
        <w:jc w:val="both"/>
        <w:rPr>
          <w:rFonts w:ascii="Century Schoolbook" w:hAnsi="Century Schoolbook"/>
          <w:sz w:val="24"/>
          <w:szCs w:val="24"/>
        </w:rPr>
      </w:pPr>
    </w:p>
    <w:p w14:paraId="545AC6A4" w14:textId="5826967A" w:rsidR="000B3D71" w:rsidRPr="00665A66" w:rsidRDefault="006D0C0C" w:rsidP="00D83153">
      <w:pPr>
        <w:spacing w:after="0" w:line="240" w:lineRule="auto"/>
        <w:ind w:firstLine="720"/>
        <w:jc w:val="both"/>
        <w:rPr>
          <w:rFonts w:ascii="Century Schoolbook" w:hAnsi="Century Schoolbook" w:cs="Segoe UI"/>
          <w:color w:val="000000" w:themeColor="text1"/>
          <w:sz w:val="24"/>
          <w:szCs w:val="24"/>
          <w:shd w:val="clear" w:color="auto" w:fill="FFFFFF"/>
        </w:rPr>
      </w:pPr>
      <w:r>
        <w:rPr>
          <w:rStyle w:val="Hyperlink"/>
          <w:rFonts w:ascii="Century Schoolbook" w:hAnsi="Century Schoolbook"/>
          <w:color w:val="000000" w:themeColor="text1"/>
          <w:sz w:val="24"/>
          <w:szCs w:val="24"/>
          <w:u w:val="none"/>
        </w:rPr>
        <w:t xml:space="preserve">Judge Alexakis </w:t>
      </w:r>
      <w:r w:rsidR="000B3D71" w:rsidRPr="00665A66">
        <w:rPr>
          <w:rStyle w:val="Hyperlink"/>
          <w:rFonts w:ascii="Century Schoolbook" w:hAnsi="Century Schoolbook"/>
          <w:color w:val="000000" w:themeColor="text1"/>
          <w:sz w:val="24"/>
          <w:szCs w:val="24"/>
          <w:u w:val="none"/>
        </w:rPr>
        <w:t xml:space="preserve">will set case-specific deadlines, but generally, once </w:t>
      </w:r>
      <w:r w:rsidR="000B3D71" w:rsidRPr="00665A66">
        <w:rPr>
          <w:rStyle w:val="cf01"/>
          <w:rFonts w:ascii="Century Schoolbook" w:hAnsi="Century Schoolbook"/>
          <w:color w:val="000000" w:themeColor="text1"/>
          <w:sz w:val="24"/>
          <w:szCs w:val="24"/>
        </w:rPr>
        <w:t>a trial date has been set, the parties can expect that motions in limine will be due six weeks before trial; responses to motions in limine will be due four weeks before trial; the final pretrial order will be due four weeks before trial.</w:t>
      </w:r>
    </w:p>
    <w:p w14:paraId="152047DA" w14:textId="77777777" w:rsidR="00947779" w:rsidRDefault="00947779" w:rsidP="00947779">
      <w:pPr>
        <w:spacing w:after="0" w:line="240" w:lineRule="auto"/>
        <w:ind w:firstLine="720"/>
        <w:jc w:val="both"/>
        <w:rPr>
          <w:rFonts w:ascii="Century Schoolbook" w:hAnsi="Century Schoolbook"/>
          <w:sz w:val="24"/>
          <w:szCs w:val="24"/>
        </w:rPr>
      </w:pPr>
    </w:p>
    <w:p w14:paraId="3B0BACEC" w14:textId="277B8AA8" w:rsidR="006E192F" w:rsidRDefault="004B0A85" w:rsidP="00A95E22">
      <w:pPr>
        <w:spacing w:after="0" w:line="240" w:lineRule="auto"/>
        <w:ind w:firstLine="720"/>
        <w:jc w:val="both"/>
        <w:rPr>
          <w:rFonts w:ascii="Century Schoolbook" w:hAnsi="Century Schoolbook"/>
          <w:sz w:val="24"/>
          <w:szCs w:val="24"/>
        </w:rPr>
      </w:pPr>
      <w:r w:rsidRPr="004B0A85">
        <w:rPr>
          <w:rFonts w:ascii="Century Schoolbook" w:hAnsi="Century Schoolbook"/>
          <w:sz w:val="24"/>
          <w:szCs w:val="24"/>
        </w:rPr>
        <w:t xml:space="preserve">Proposed pretrial orders must be filed electronically using CM/ECF. To file it, select the appropriate CM/ECF event, “Other Filings” and then “Other Documents,” and choose the Proposed Pretrial Order event. </w:t>
      </w:r>
      <w:r w:rsidR="00DB327C">
        <w:rPr>
          <w:rFonts w:ascii="Century Schoolbook" w:hAnsi="Century Schoolbook"/>
          <w:sz w:val="24"/>
          <w:szCs w:val="24"/>
        </w:rPr>
        <w:t xml:space="preserve">Parties should also </w:t>
      </w:r>
      <w:r w:rsidRPr="004B0A85">
        <w:rPr>
          <w:rFonts w:ascii="Century Schoolbook" w:hAnsi="Century Schoolbook"/>
          <w:sz w:val="24"/>
          <w:szCs w:val="24"/>
        </w:rPr>
        <w:t xml:space="preserve">email </w:t>
      </w:r>
      <w:r w:rsidR="00DB327C">
        <w:rPr>
          <w:rFonts w:ascii="Century Schoolbook" w:hAnsi="Century Schoolbook"/>
          <w:sz w:val="24"/>
          <w:szCs w:val="24"/>
        </w:rPr>
        <w:t xml:space="preserve">the proposed pretrial order </w:t>
      </w:r>
      <w:r w:rsidRPr="004B0A85">
        <w:rPr>
          <w:rFonts w:ascii="Century Schoolbook" w:hAnsi="Century Schoolbook"/>
          <w:sz w:val="24"/>
          <w:szCs w:val="24"/>
        </w:rPr>
        <w:t>to Proposed_Order_</w:t>
      </w:r>
      <w:r w:rsidR="00947779">
        <w:rPr>
          <w:rFonts w:ascii="Century Schoolbook" w:hAnsi="Century Schoolbook"/>
          <w:sz w:val="24"/>
          <w:szCs w:val="24"/>
        </w:rPr>
        <w:t>Alexakis</w:t>
      </w:r>
      <w:r w:rsidRPr="004B0A85">
        <w:rPr>
          <w:rFonts w:ascii="Century Schoolbook" w:hAnsi="Century Schoolbook"/>
          <w:sz w:val="24"/>
          <w:szCs w:val="24"/>
        </w:rPr>
        <w:t>@ilnd.uscourts.gov in Microsoft Word format.</w:t>
      </w:r>
      <w:r w:rsidR="00DB327C">
        <w:rPr>
          <w:rFonts w:ascii="Century Schoolbook" w:hAnsi="Century Schoolbook"/>
          <w:sz w:val="24"/>
          <w:szCs w:val="24"/>
        </w:rPr>
        <w:t xml:space="preserve"> Finally, </w:t>
      </w:r>
      <w:proofErr w:type="gramStart"/>
      <w:r w:rsidR="00DB327C">
        <w:rPr>
          <w:rFonts w:ascii="Century Schoolbook" w:hAnsi="Century Schoolbook"/>
          <w:sz w:val="24"/>
          <w:szCs w:val="24"/>
        </w:rPr>
        <w:t>parties</w:t>
      </w:r>
      <w:proofErr w:type="gramEnd"/>
      <w:r w:rsidR="00DB327C">
        <w:rPr>
          <w:rFonts w:ascii="Century Schoolbook" w:hAnsi="Century Schoolbook"/>
          <w:sz w:val="24"/>
          <w:szCs w:val="24"/>
        </w:rPr>
        <w:t xml:space="preserve"> must </w:t>
      </w:r>
      <w:r w:rsidR="005F513B">
        <w:rPr>
          <w:rFonts w:ascii="Century Schoolbook" w:hAnsi="Century Schoolbook"/>
          <w:sz w:val="24"/>
          <w:szCs w:val="24"/>
        </w:rPr>
        <w:t xml:space="preserve">deliver a courtesy copy of the proposed pretrial order to the Courtroom Deputy. The </w:t>
      </w:r>
      <w:r w:rsidR="00141844">
        <w:rPr>
          <w:rFonts w:ascii="Century Schoolbook" w:hAnsi="Century Schoolbook"/>
          <w:sz w:val="24"/>
          <w:szCs w:val="24"/>
        </w:rPr>
        <w:t>courtesy copy</w:t>
      </w:r>
      <w:r w:rsidR="006E192F">
        <w:rPr>
          <w:rFonts w:ascii="Century Schoolbook" w:hAnsi="Century Schoolbook"/>
          <w:sz w:val="24"/>
          <w:szCs w:val="24"/>
        </w:rPr>
        <w:t xml:space="preserve"> should be </w:t>
      </w:r>
      <w:r w:rsidR="006E192F" w:rsidRPr="00663B41">
        <w:rPr>
          <w:rFonts w:ascii="Century Schoolbook" w:hAnsi="Century Schoolbook"/>
          <w:sz w:val="24"/>
          <w:szCs w:val="24"/>
        </w:rPr>
        <w:t>printed double</w:t>
      </w:r>
      <w:r w:rsidR="006E192F" w:rsidRPr="00EC08E7">
        <w:rPr>
          <w:rFonts w:ascii="Century Schoolbook" w:hAnsi="Century Schoolbook"/>
          <w:sz w:val="24"/>
          <w:szCs w:val="24"/>
        </w:rPr>
        <w:t>-</w:t>
      </w:r>
      <w:r w:rsidR="006E192F" w:rsidRPr="00663B41">
        <w:rPr>
          <w:rFonts w:ascii="Century Schoolbook" w:hAnsi="Century Schoolbook"/>
          <w:sz w:val="24"/>
          <w:szCs w:val="24"/>
        </w:rPr>
        <w:t>sided (on both sides of the paper)</w:t>
      </w:r>
      <w:r w:rsidR="006E192F">
        <w:rPr>
          <w:rFonts w:ascii="Century Schoolbook" w:hAnsi="Century Schoolbook"/>
          <w:sz w:val="24"/>
          <w:szCs w:val="24"/>
        </w:rPr>
        <w:t xml:space="preserve"> </w:t>
      </w:r>
      <w:r w:rsidR="006E192F" w:rsidRPr="00663B41">
        <w:rPr>
          <w:rFonts w:ascii="Century Schoolbook" w:hAnsi="Century Schoolbook"/>
          <w:sz w:val="24"/>
          <w:szCs w:val="24"/>
        </w:rPr>
        <w:t xml:space="preserve">and </w:t>
      </w:r>
      <w:r w:rsidR="006E192F">
        <w:rPr>
          <w:rFonts w:ascii="Century Schoolbook" w:hAnsi="Century Schoolbook"/>
          <w:sz w:val="24"/>
          <w:szCs w:val="24"/>
        </w:rPr>
        <w:t xml:space="preserve">placed </w:t>
      </w:r>
      <w:r w:rsidR="006E192F" w:rsidRPr="00A96AEF">
        <w:rPr>
          <w:rFonts w:ascii="Century Schoolbook" w:hAnsi="Century Schoolbook"/>
          <w:sz w:val="24"/>
          <w:szCs w:val="24"/>
        </w:rPr>
        <w:t>in a three-ring binder</w:t>
      </w:r>
      <w:r w:rsidR="006E192F" w:rsidRPr="00B03865">
        <w:rPr>
          <w:rFonts w:ascii="Century Schoolbook" w:hAnsi="Century Schoolbook"/>
          <w:sz w:val="24"/>
          <w:szCs w:val="24"/>
        </w:rPr>
        <w:t>.</w:t>
      </w:r>
    </w:p>
    <w:p w14:paraId="1C1EBC36" w14:textId="77777777" w:rsidR="00947779" w:rsidRDefault="00947779" w:rsidP="00947779">
      <w:pPr>
        <w:spacing w:after="0" w:line="240" w:lineRule="auto"/>
        <w:ind w:firstLine="720"/>
        <w:jc w:val="both"/>
        <w:rPr>
          <w:rFonts w:ascii="Century Schoolbook" w:hAnsi="Century Schoolbook"/>
          <w:sz w:val="24"/>
          <w:szCs w:val="24"/>
        </w:rPr>
      </w:pPr>
    </w:p>
    <w:p w14:paraId="73C016C0" w14:textId="2E01F4F2" w:rsidR="004B0A85" w:rsidRPr="004B0A85" w:rsidRDefault="004B0A85" w:rsidP="00947779">
      <w:pPr>
        <w:spacing w:after="0" w:line="240" w:lineRule="auto"/>
        <w:ind w:firstLine="720"/>
        <w:jc w:val="both"/>
        <w:rPr>
          <w:rFonts w:ascii="Century Schoolbook" w:hAnsi="Century Schoolbook"/>
          <w:sz w:val="24"/>
          <w:szCs w:val="24"/>
        </w:rPr>
      </w:pPr>
      <w:r w:rsidRPr="004B0A85">
        <w:rPr>
          <w:rFonts w:ascii="Century Schoolbook" w:hAnsi="Century Schoolbook"/>
          <w:sz w:val="24"/>
          <w:szCs w:val="24"/>
        </w:rPr>
        <w:t xml:space="preserve">1. </w:t>
      </w:r>
      <w:r w:rsidRPr="004B0A85">
        <w:rPr>
          <w:rFonts w:ascii="Century Schoolbook" w:hAnsi="Century Schoolbook"/>
          <w:i/>
          <w:iCs/>
          <w:sz w:val="24"/>
          <w:szCs w:val="24"/>
        </w:rPr>
        <w:t>Jurisdiction.</w:t>
      </w:r>
      <w:r w:rsidRPr="004B0A85">
        <w:rPr>
          <w:rFonts w:ascii="Century Schoolbook" w:hAnsi="Century Schoolbook"/>
          <w:sz w:val="24"/>
          <w:szCs w:val="24"/>
        </w:rPr>
        <w:t xml:space="preserve"> State the jurisdictional basis for each claim. If the parties rely </w:t>
      </w:r>
    </w:p>
    <w:p w14:paraId="6A7CF8A9" w14:textId="3B86E2F6" w:rsidR="004B0A85" w:rsidRDefault="004B0A85" w:rsidP="00947779">
      <w:pPr>
        <w:spacing w:after="0" w:line="240" w:lineRule="auto"/>
        <w:jc w:val="both"/>
        <w:rPr>
          <w:rFonts w:ascii="Century Schoolbook" w:hAnsi="Century Schoolbook"/>
          <w:sz w:val="24"/>
          <w:szCs w:val="24"/>
        </w:rPr>
      </w:pPr>
      <w:r w:rsidRPr="004B0A85">
        <w:rPr>
          <w:rFonts w:ascii="Century Schoolbook" w:hAnsi="Century Schoolbook"/>
          <w:sz w:val="24"/>
          <w:szCs w:val="24"/>
        </w:rPr>
        <w:t xml:space="preserve">on either diversity jurisdiction or another jurisdictional basis that requires a threshold amount, then state whether the parties agree that the amount in controversy exceeds the </w:t>
      </w:r>
      <w:proofErr w:type="gramStart"/>
      <w:r w:rsidRPr="004B0A85">
        <w:rPr>
          <w:rFonts w:ascii="Century Schoolbook" w:hAnsi="Century Schoolbook"/>
          <w:sz w:val="24"/>
          <w:szCs w:val="24"/>
        </w:rPr>
        <w:t>amount, and</w:t>
      </w:r>
      <w:proofErr w:type="gramEnd"/>
      <w:r w:rsidRPr="004B0A85">
        <w:rPr>
          <w:rFonts w:ascii="Century Schoolbook" w:hAnsi="Century Schoolbook"/>
          <w:sz w:val="24"/>
          <w:szCs w:val="24"/>
        </w:rPr>
        <w:t xml:space="preserve"> include a concise explanation of how the evidence supports that statement.</w:t>
      </w:r>
    </w:p>
    <w:p w14:paraId="498638AA" w14:textId="77777777" w:rsidR="00947779" w:rsidRPr="004B0A85" w:rsidRDefault="00947779" w:rsidP="00947779">
      <w:pPr>
        <w:spacing w:after="0" w:line="240" w:lineRule="auto"/>
        <w:jc w:val="both"/>
        <w:rPr>
          <w:rFonts w:ascii="Century Schoolbook" w:hAnsi="Century Schoolbook"/>
          <w:sz w:val="24"/>
          <w:szCs w:val="24"/>
        </w:rPr>
      </w:pPr>
    </w:p>
    <w:p w14:paraId="575C69F3" w14:textId="77777777" w:rsidR="004B0A85" w:rsidRPr="004B0A85" w:rsidRDefault="004B0A85" w:rsidP="00947779">
      <w:pPr>
        <w:spacing w:after="0" w:line="240" w:lineRule="auto"/>
        <w:ind w:firstLine="720"/>
        <w:jc w:val="both"/>
        <w:rPr>
          <w:rFonts w:ascii="Century Schoolbook" w:hAnsi="Century Schoolbook"/>
          <w:sz w:val="24"/>
          <w:szCs w:val="24"/>
        </w:rPr>
      </w:pPr>
      <w:r w:rsidRPr="004B0A85">
        <w:rPr>
          <w:rFonts w:ascii="Century Schoolbook" w:hAnsi="Century Schoolbook"/>
          <w:sz w:val="24"/>
          <w:szCs w:val="24"/>
        </w:rPr>
        <w:t xml:space="preserve">2. </w:t>
      </w:r>
      <w:r w:rsidRPr="004B0A85">
        <w:rPr>
          <w:rFonts w:ascii="Century Schoolbook" w:hAnsi="Century Schoolbook"/>
          <w:i/>
          <w:iCs/>
          <w:sz w:val="24"/>
          <w:szCs w:val="24"/>
        </w:rPr>
        <w:t>Trial Attorneys.</w:t>
      </w:r>
      <w:r w:rsidRPr="004B0A85">
        <w:rPr>
          <w:rFonts w:ascii="Century Schoolbook" w:hAnsi="Century Schoolbook"/>
          <w:sz w:val="24"/>
          <w:szCs w:val="24"/>
        </w:rPr>
        <w:t xml:space="preserve"> List </w:t>
      </w:r>
      <w:proofErr w:type="gramStart"/>
      <w:r w:rsidRPr="004B0A85">
        <w:rPr>
          <w:rFonts w:ascii="Century Schoolbook" w:hAnsi="Century Schoolbook"/>
          <w:sz w:val="24"/>
          <w:szCs w:val="24"/>
        </w:rPr>
        <w:t>all of</w:t>
      </w:r>
      <w:proofErr w:type="gramEnd"/>
      <w:r w:rsidRPr="004B0A85">
        <w:rPr>
          <w:rFonts w:ascii="Century Schoolbook" w:hAnsi="Century Schoolbook"/>
          <w:sz w:val="24"/>
          <w:szCs w:val="24"/>
        </w:rPr>
        <w:t xml:space="preserve"> the attorneys trying the case, as well as contact </w:t>
      </w:r>
    </w:p>
    <w:p w14:paraId="0F59611A" w14:textId="1942FB5F" w:rsidR="004B0A85" w:rsidRPr="004B0A85" w:rsidRDefault="004B0A85" w:rsidP="00947779">
      <w:pPr>
        <w:spacing w:after="0" w:line="240" w:lineRule="auto"/>
        <w:jc w:val="both"/>
        <w:rPr>
          <w:rFonts w:ascii="Century Schoolbook" w:hAnsi="Century Schoolbook"/>
          <w:sz w:val="24"/>
          <w:szCs w:val="24"/>
        </w:rPr>
      </w:pPr>
      <w:r w:rsidRPr="004B0A85">
        <w:rPr>
          <w:rFonts w:ascii="Century Schoolbook" w:hAnsi="Century Schoolbook"/>
          <w:sz w:val="24"/>
          <w:szCs w:val="24"/>
        </w:rPr>
        <w:t>information (business address, telephone number, and email address)</w:t>
      </w:r>
      <w:r w:rsidR="008D6EC7">
        <w:rPr>
          <w:rFonts w:ascii="Century Schoolbook" w:hAnsi="Century Schoolbook"/>
          <w:sz w:val="24"/>
          <w:szCs w:val="24"/>
        </w:rPr>
        <w:t xml:space="preserve"> for each one</w:t>
      </w:r>
      <w:r w:rsidRPr="004B0A85">
        <w:rPr>
          <w:rFonts w:ascii="Century Schoolbook" w:hAnsi="Century Schoolbook"/>
          <w:sz w:val="24"/>
          <w:szCs w:val="24"/>
        </w:rPr>
        <w:t>.</w:t>
      </w:r>
    </w:p>
    <w:p w14:paraId="411C09C4" w14:textId="77777777" w:rsidR="00947779" w:rsidRDefault="00947779" w:rsidP="00947779">
      <w:pPr>
        <w:spacing w:after="0" w:line="240" w:lineRule="auto"/>
        <w:jc w:val="both"/>
        <w:rPr>
          <w:rFonts w:ascii="Century Schoolbook" w:hAnsi="Century Schoolbook"/>
          <w:sz w:val="24"/>
          <w:szCs w:val="24"/>
        </w:rPr>
      </w:pPr>
    </w:p>
    <w:p w14:paraId="72EEE368" w14:textId="3D38A4EE" w:rsidR="004B0A85" w:rsidRPr="004B0A85" w:rsidRDefault="004B0A85" w:rsidP="00947779">
      <w:pPr>
        <w:spacing w:after="0" w:line="240" w:lineRule="auto"/>
        <w:ind w:firstLine="720"/>
        <w:jc w:val="both"/>
        <w:rPr>
          <w:rFonts w:ascii="Century Schoolbook" w:hAnsi="Century Schoolbook"/>
          <w:sz w:val="24"/>
          <w:szCs w:val="24"/>
        </w:rPr>
      </w:pPr>
      <w:r w:rsidRPr="004B0A85">
        <w:rPr>
          <w:rFonts w:ascii="Century Schoolbook" w:hAnsi="Century Schoolbook"/>
          <w:sz w:val="24"/>
          <w:szCs w:val="24"/>
        </w:rPr>
        <w:t xml:space="preserve">3. </w:t>
      </w:r>
      <w:r w:rsidRPr="004B0A85">
        <w:rPr>
          <w:rFonts w:ascii="Century Schoolbook" w:hAnsi="Century Schoolbook"/>
          <w:i/>
          <w:iCs/>
          <w:sz w:val="24"/>
          <w:szCs w:val="24"/>
        </w:rPr>
        <w:t>Case Statement.</w:t>
      </w:r>
      <w:r w:rsidRPr="004B0A85">
        <w:rPr>
          <w:rFonts w:ascii="Century Schoolbook" w:hAnsi="Century Schoolbook"/>
          <w:sz w:val="24"/>
          <w:szCs w:val="24"/>
        </w:rPr>
        <w:t xml:space="preserve"> Provide a concise agreed statement of the case to be read by</w:t>
      </w:r>
    </w:p>
    <w:p w14:paraId="66872A91" w14:textId="0A75F7C6" w:rsidR="004B0A85" w:rsidRPr="004B0A85" w:rsidRDefault="000A7E85" w:rsidP="00947779">
      <w:pPr>
        <w:spacing w:after="0" w:line="240" w:lineRule="auto"/>
        <w:jc w:val="both"/>
        <w:rPr>
          <w:rFonts w:ascii="Century Schoolbook" w:hAnsi="Century Schoolbook"/>
          <w:sz w:val="24"/>
          <w:szCs w:val="24"/>
        </w:rPr>
      </w:pPr>
      <w:r>
        <w:rPr>
          <w:rFonts w:ascii="Century Schoolbook" w:hAnsi="Century Schoolbook"/>
          <w:sz w:val="24"/>
          <w:szCs w:val="24"/>
        </w:rPr>
        <w:t xml:space="preserve">Judge Alexakis </w:t>
      </w:r>
      <w:r w:rsidR="004B0A85" w:rsidRPr="004B0A85">
        <w:rPr>
          <w:rFonts w:ascii="Century Schoolbook" w:hAnsi="Century Schoolbook"/>
          <w:sz w:val="24"/>
          <w:szCs w:val="24"/>
        </w:rPr>
        <w:t>to the jury pool during jury selection. The statement must describe the nature of</w:t>
      </w:r>
      <w:r w:rsidR="00947779">
        <w:rPr>
          <w:rFonts w:ascii="Century Schoolbook" w:hAnsi="Century Schoolbook"/>
          <w:sz w:val="24"/>
          <w:szCs w:val="24"/>
        </w:rPr>
        <w:t xml:space="preserve"> </w:t>
      </w:r>
      <w:r w:rsidR="004B0A85" w:rsidRPr="004B0A85">
        <w:rPr>
          <w:rFonts w:ascii="Century Schoolbook" w:hAnsi="Century Schoolbook"/>
          <w:sz w:val="24"/>
          <w:szCs w:val="24"/>
        </w:rPr>
        <w:t xml:space="preserve">the case, claims (plus </w:t>
      </w:r>
      <w:proofErr w:type="gramStart"/>
      <w:r w:rsidR="004B0A85" w:rsidRPr="004B0A85">
        <w:rPr>
          <w:rFonts w:ascii="Century Schoolbook" w:hAnsi="Century Schoolbook"/>
          <w:sz w:val="24"/>
          <w:szCs w:val="24"/>
        </w:rPr>
        <w:t>counter-claims</w:t>
      </w:r>
      <w:proofErr w:type="gramEnd"/>
      <w:r w:rsidR="004B0A85" w:rsidRPr="004B0A85">
        <w:rPr>
          <w:rFonts w:ascii="Century Schoolbook" w:hAnsi="Century Schoolbook"/>
          <w:sz w:val="24"/>
          <w:szCs w:val="24"/>
        </w:rPr>
        <w:t xml:space="preserve"> and crossclaims, if any) and defenses. This is a neutral</w:t>
      </w:r>
      <w:r w:rsidR="00947779">
        <w:rPr>
          <w:rFonts w:ascii="Century Schoolbook" w:hAnsi="Century Schoolbook"/>
          <w:sz w:val="24"/>
          <w:szCs w:val="24"/>
        </w:rPr>
        <w:t xml:space="preserve"> </w:t>
      </w:r>
      <w:r w:rsidR="004B0A85" w:rsidRPr="004B0A85">
        <w:rPr>
          <w:rFonts w:ascii="Century Schoolbook" w:hAnsi="Century Schoolbook"/>
          <w:sz w:val="24"/>
          <w:szCs w:val="24"/>
        </w:rPr>
        <w:t>description of the case, with just enough information to introduce the case to the jury and to ask potential jurors whether they happen to know anything about the case.</w:t>
      </w:r>
    </w:p>
    <w:p w14:paraId="63230679" w14:textId="77777777" w:rsidR="00947779" w:rsidRDefault="00947779" w:rsidP="00947779">
      <w:pPr>
        <w:spacing w:after="0" w:line="240" w:lineRule="auto"/>
        <w:jc w:val="both"/>
        <w:rPr>
          <w:rFonts w:ascii="Century Schoolbook" w:hAnsi="Century Schoolbook"/>
          <w:sz w:val="24"/>
          <w:szCs w:val="24"/>
        </w:rPr>
      </w:pPr>
    </w:p>
    <w:p w14:paraId="155DA9BD" w14:textId="410F5F04" w:rsidR="004B0A85" w:rsidRPr="004B0A85" w:rsidRDefault="004B0A85" w:rsidP="00947779">
      <w:pPr>
        <w:spacing w:after="0" w:line="240" w:lineRule="auto"/>
        <w:ind w:firstLine="720"/>
        <w:jc w:val="both"/>
        <w:rPr>
          <w:rFonts w:ascii="Century Schoolbook" w:hAnsi="Century Schoolbook"/>
          <w:sz w:val="24"/>
          <w:szCs w:val="24"/>
        </w:rPr>
      </w:pPr>
      <w:r w:rsidRPr="004B0A85">
        <w:rPr>
          <w:rFonts w:ascii="Century Schoolbook" w:hAnsi="Century Schoolbook"/>
          <w:sz w:val="24"/>
          <w:szCs w:val="24"/>
        </w:rPr>
        <w:lastRenderedPageBreak/>
        <w:t xml:space="preserve">4. </w:t>
      </w:r>
      <w:r w:rsidRPr="004B0A85">
        <w:rPr>
          <w:rFonts w:ascii="Century Schoolbook" w:hAnsi="Century Schoolbook"/>
          <w:i/>
          <w:iCs/>
          <w:sz w:val="24"/>
          <w:szCs w:val="24"/>
        </w:rPr>
        <w:t>Trial Length/Number of Jurors.</w:t>
      </w:r>
      <w:r w:rsidRPr="004B0A85">
        <w:rPr>
          <w:rFonts w:ascii="Century Schoolbook" w:hAnsi="Century Schoolbook"/>
          <w:sz w:val="24"/>
          <w:szCs w:val="24"/>
        </w:rPr>
        <w:t xml:space="preserve"> State the estimated number of trial days,</w:t>
      </w:r>
      <w:r w:rsidR="00947779">
        <w:rPr>
          <w:rFonts w:ascii="Century Schoolbook" w:hAnsi="Century Schoolbook"/>
          <w:sz w:val="24"/>
          <w:szCs w:val="24"/>
        </w:rPr>
        <w:t xml:space="preserve"> i</w:t>
      </w:r>
      <w:r w:rsidRPr="004B0A85">
        <w:rPr>
          <w:rFonts w:ascii="Century Schoolbook" w:hAnsi="Century Schoolbook"/>
          <w:sz w:val="24"/>
          <w:szCs w:val="24"/>
        </w:rPr>
        <w:t>ncluding jury selection, opening statements, and closing arguments. State the number of jurors that the parties recommend (subject to Federal Rule of Civil Procedure 48(a)).</w:t>
      </w:r>
    </w:p>
    <w:p w14:paraId="3E3E618A" w14:textId="77777777" w:rsidR="00947779" w:rsidRDefault="00947779" w:rsidP="00947779">
      <w:pPr>
        <w:spacing w:after="0" w:line="240" w:lineRule="auto"/>
        <w:jc w:val="both"/>
        <w:rPr>
          <w:rFonts w:ascii="Century Schoolbook" w:hAnsi="Century Schoolbook"/>
          <w:sz w:val="24"/>
          <w:szCs w:val="24"/>
        </w:rPr>
      </w:pPr>
    </w:p>
    <w:p w14:paraId="2E9C6D56" w14:textId="1854F7CB" w:rsidR="004B0A85" w:rsidRDefault="004B0A85" w:rsidP="00947779">
      <w:pPr>
        <w:spacing w:after="0" w:line="240" w:lineRule="auto"/>
        <w:ind w:firstLine="720"/>
        <w:jc w:val="both"/>
        <w:rPr>
          <w:rFonts w:ascii="Century Schoolbook" w:hAnsi="Century Schoolbook"/>
          <w:sz w:val="24"/>
          <w:szCs w:val="24"/>
        </w:rPr>
      </w:pPr>
      <w:r w:rsidRPr="004B0A85">
        <w:rPr>
          <w:rFonts w:ascii="Century Schoolbook" w:hAnsi="Century Schoolbook"/>
          <w:sz w:val="24"/>
          <w:szCs w:val="24"/>
        </w:rPr>
        <w:t xml:space="preserve">5. </w:t>
      </w:r>
      <w:r w:rsidRPr="004B0A85">
        <w:rPr>
          <w:rFonts w:ascii="Century Schoolbook" w:hAnsi="Century Schoolbook"/>
          <w:i/>
          <w:iCs/>
          <w:sz w:val="24"/>
          <w:szCs w:val="24"/>
        </w:rPr>
        <w:t>Stipulations and Uncontested Facts.</w:t>
      </w:r>
      <w:r w:rsidRPr="004B0A85">
        <w:rPr>
          <w:rFonts w:ascii="Century Schoolbook" w:hAnsi="Century Schoolbook"/>
          <w:sz w:val="24"/>
          <w:szCs w:val="24"/>
        </w:rPr>
        <w:t xml:space="preserve"> In numbered paragraphs, state any stipulations and uncontested facts. The parties must confer in good faith to arrive at</w:t>
      </w:r>
      <w:r w:rsidR="00947779">
        <w:rPr>
          <w:rFonts w:ascii="Century Schoolbook" w:hAnsi="Century Schoolbook"/>
          <w:sz w:val="24"/>
          <w:szCs w:val="24"/>
        </w:rPr>
        <w:t xml:space="preserve"> </w:t>
      </w:r>
      <w:r w:rsidRPr="004B0A85">
        <w:rPr>
          <w:rFonts w:ascii="Century Schoolbook" w:hAnsi="Century Schoolbook"/>
          <w:sz w:val="24"/>
          <w:szCs w:val="24"/>
        </w:rPr>
        <w:t>as many stipulations and uncontested facts as possible.</w:t>
      </w:r>
    </w:p>
    <w:p w14:paraId="31D6BE00" w14:textId="77777777" w:rsidR="00EA1F35" w:rsidRPr="004B0A85" w:rsidRDefault="00EA1F35" w:rsidP="00947779">
      <w:pPr>
        <w:spacing w:after="0" w:line="240" w:lineRule="auto"/>
        <w:ind w:firstLine="720"/>
        <w:jc w:val="both"/>
        <w:rPr>
          <w:rFonts w:ascii="Century Schoolbook" w:hAnsi="Century Schoolbook"/>
          <w:sz w:val="24"/>
          <w:szCs w:val="24"/>
        </w:rPr>
      </w:pPr>
    </w:p>
    <w:p w14:paraId="2C69C613" w14:textId="77777777" w:rsidR="00947779" w:rsidRDefault="004B0A85" w:rsidP="00947779">
      <w:pPr>
        <w:spacing w:after="0" w:line="240" w:lineRule="auto"/>
        <w:ind w:firstLine="720"/>
        <w:jc w:val="both"/>
        <w:rPr>
          <w:rFonts w:ascii="Century Schoolbook" w:hAnsi="Century Schoolbook"/>
          <w:sz w:val="24"/>
          <w:szCs w:val="24"/>
        </w:rPr>
      </w:pPr>
      <w:r w:rsidRPr="004B0A85">
        <w:rPr>
          <w:rFonts w:ascii="Century Schoolbook" w:hAnsi="Century Schoolbook"/>
          <w:sz w:val="24"/>
          <w:szCs w:val="24"/>
        </w:rPr>
        <w:t xml:space="preserve">6. </w:t>
      </w:r>
      <w:r w:rsidRPr="004B0A85">
        <w:rPr>
          <w:rFonts w:ascii="Century Schoolbook" w:hAnsi="Century Schoolbook"/>
          <w:i/>
          <w:iCs/>
          <w:sz w:val="24"/>
          <w:szCs w:val="24"/>
        </w:rPr>
        <w:t>Witness Description Lists.</w:t>
      </w:r>
      <w:r w:rsidRPr="004B0A85">
        <w:rPr>
          <w:rFonts w:ascii="Century Schoolbook" w:hAnsi="Century Schoolbook"/>
          <w:sz w:val="24"/>
          <w:szCs w:val="24"/>
        </w:rPr>
        <w:t xml:space="preserve"> Each party shall provide a list of witnesses, including expert witnesses, divided into (a) witnesses who will be called; and (b)</w:t>
      </w:r>
      <w:r w:rsidR="00947779">
        <w:rPr>
          <w:rFonts w:ascii="Century Schoolbook" w:hAnsi="Century Schoolbook"/>
          <w:sz w:val="24"/>
          <w:szCs w:val="24"/>
        </w:rPr>
        <w:t> </w:t>
      </w:r>
      <w:r w:rsidRPr="004B0A85">
        <w:rPr>
          <w:rFonts w:ascii="Century Schoolbook" w:hAnsi="Century Schoolbook"/>
          <w:sz w:val="24"/>
          <w:szCs w:val="24"/>
        </w:rPr>
        <w:t xml:space="preserve">witnesses whose testimony will be presented by deposition or other prior testimony (indicating whether the presentation will be by reading a transcript or playing a video); and (c) witnesses who might be called or whose testimony might be presented. For each witness, </w:t>
      </w:r>
      <w:r w:rsidRPr="00947779">
        <w:rPr>
          <w:rFonts w:ascii="Century Schoolbook" w:hAnsi="Century Schoolbook"/>
          <w:sz w:val="24"/>
          <w:szCs w:val="24"/>
        </w:rPr>
        <w:t>provide a very concise (2 or 3 sentences) description of the witness and the witness’s role</w:t>
      </w:r>
      <w:r w:rsidR="00947779">
        <w:rPr>
          <w:rFonts w:ascii="Century Schoolbook" w:hAnsi="Century Schoolbook"/>
          <w:sz w:val="24"/>
          <w:szCs w:val="24"/>
        </w:rPr>
        <w:t xml:space="preserve"> </w:t>
      </w:r>
      <w:r w:rsidRPr="00947779">
        <w:rPr>
          <w:rFonts w:ascii="Century Schoolbook" w:hAnsi="Century Schoolbook"/>
          <w:sz w:val="24"/>
          <w:szCs w:val="24"/>
        </w:rPr>
        <w:t xml:space="preserve">in the case and, if applicable, whether the witness will by testifying other than live and in person. Witnesses who are not on the lists are barred from testifying unless the proponent shows good cause for the failure to disclose the witness. The names of witnesses on the lists will be read to the jury during jury selection to ensure that potential jurors do not personally know any witnesses. </w:t>
      </w:r>
    </w:p>
    <w:p w14:paraId="72614344" w14:textId="77777777" w:rsidR="00947779" w:rsidRDefault="00947779" w:rsidP="00947779">
      <w:pPr>
        <w:spacing w:after="0" w:line="240" w:lineRule="auto"/>
        <w:ind w:firstLine="720"/>
        <w:jc w:val="both"/>
        <w:rPr>
          <w:rFonts w:ascii="Century Schoolbook" w:hAnsi="Century Schoolbook"/>
          <w:sz w:val="24"/>
          <w:szCs w:val="24"/>
        </w:rPr>
      </w:pPr>
    </w:p>
    <w:p w14:paraId="7A1B48DB" w14:textId="7381A832" w:rsidR="00947779" w:rsidRDefault="004B0A85" w:rsidP="00947779">
      <w:pPr>
        <w:spacing w:after="0" w:line="240" w:lineRule="auto"/>
        <w:ind w:firstLine="720"/>
        <w:jc w:val="both"/>
        <w:rPr>
          <w:rFonts w:ascii="Century Schoolbook" w:hAnsi="Century Schoolbook"/>
          <w:sz w:val="24"/>
          <w:szCs w:val="24"/>
        </w:rPr>
      </w:pPr>
      <w:r w:rsidRPr="00947779">
        <w:rPr>
          <w:rFonts w:ascii="Century Schoolbook" w:hAnsi="Century Schoolbook"/>
          <w:sz w:val="24"/>
          <w:szCs w:val="24"/>
        </w:rPr>
        <w:t xml:space="preserve">7. </w:t>
      </w:r>
      <w:r w:rsidRPr="00947779">
        <w:rPr>
          <w:rFonts w:ascii="Century Schoolbook" w:hAnsi="Century Schoolbook"/>
          <w:i/>
          <w:iCs/>
          <w:sz w:val="24"/>
          <w:szCs w:val="24"/>
        </w:rPr>
        <w:t>Exhibits and Exhibit Charts.</w:t>
      </w:r>
      <w:r w:rsidRPr="00947779">
        <w:rPr>
          <w:rFonts w:ascii="Century Schoolbook" w:hAnsi="Century Schoolbook"/>
          <w:sz w:val="24"/>
          <w:szCs w:val="24"/>
        </w:rPr>
        <w:t xml:space="preserve"> The parties must submit an exhibit list that includes Plaintiff’s exhibits and Defendant’s exhibits using the template uploaded to </w:t>
      </w:r>
      <w:r w:rsidR="000A7E85">
        <w:rPr>
          <w:rFonts w:ascii="Century Schoolbook" w:hAnsi="Century Schoolbook"/>
          <w:sz w:val="24"/>
          <w:szCs w:val="24"/>
        </w:rPr>
        <w:t>Judge Alexakis’</w:t>
      </w:r>
      <w:r w:rsidRPr="00947779">
        <w:rPr>
          <w:rFonts w:ascii="Century Schoolbook" w:hAnsi="Century Schoolbook"/>
          <w:sz w:val="24"/>
          <w:szCs w:val="24"/>
        </w:rPr>
        <w:t xml:space="preserve"> webpage. The template requires the parties to provide the following information: (a) the exhibit number; (b) the date of the document or exhibit, if applicable; (c) a concise, neutral description of the exhibit; (d) a concise statement of the exhibit’s relevance; and (e) whether there is an objection to the exhibit’s admission, and if so, a concise explanation of the objection and the proponent’s theory of admissibility. The concise explanation of objection and theory of admissibility must be complete (i.e., list each distinct basis for admission or exclusion, such as Rules of Evidence or court opinions) but need not be as exhaustive as a brief would be. If additional argument on an issue </w:t>
      </w:r>
      <w:proofErr w:type="gramStart"/>
      <w:r w:rsidRPr="00947779">
        <w:rPr>
          <w:rFonts w:ascii="Century Schoolbook" w:hAnsi="Century Schoolbook"/>
          <w:sz w:val="24"/>
          <w:szCs w:val="24"/>
        </w:rPr>
        <w:t>will benefit</w:t>
      </w:r>
      <w:proofErr w:type="gramEnd"/>
      <w:r w:rsidRPr="00947779">
        <w:rPr>
          <w:rFonts w:ascii="Century Schoolbook" w:hAnsi="Century Schoolbook"/>
          <w:sz w:val="24"/>
          <w:szCs w:val="24"/>
        </w:rPr>
        <w:t xml:space="preserve"> </w:t>
      </w:r>
      <w:r w:rsidR="000A7E85">
        <w:rPr>
          <w:rFonts w:ascii="Century Schoolbook" w:hAnsi="Century Schoolbook"/>
          <w:sz w:val="24"/>
          <w:szCs w:val="24"/>
        </w:rPr>
        <w:t>Judge Alexakis</w:t>
      </w:r>
      <w:r w:rsidRPr="00947779">
        <w:rPr>
          <w:rFonts w:ascii="Century Schoolbook" w:hAnsi="Century Schoolbook"/>
          <w:sz w:val="24"/>
          <w:szCs w:val="24"/>
        </w:rPr>
        <w:t xml:space="preserve">, </w:t>
      </w:r>
      <w:r w:rsidR="000A7E85">
        <w:rPr>
          <w:rFonts w:ascii="Century Schoolbook" w:hAnsi="Century Schoolbook"/>
          <w:sz w:val="24"/>
          <w:szCs w:val="24"/>
        </w:rPr>
        <w:t xml:space="preserve">she </w:t>
      </w:r>
      <w:r w:rsidRPr="00947779">
        <w:rPr>
          <w:rFonts w:ascii="Century Schoolbook" w:hAnsi="Century Schoolbook"/>
          <w:sz w:val="24"/>
          <w:szCs w:val="24"/>
        </w:rPr>
        <w:t xml:space="preserve">will ask the parties to brief the issue or address it at the final pretrial conference. Grounds not listed may be waived, </w:t>
      </w:r>
      <w:r w:rsidRPr="00947779">
        <w:rPr>
          <w:rFonts w:ascii="Century Schoolbook" w:hAnsi="Century Schoolbook"/>
          <w:b/>
          <w:bCs/>
          <w:i/>
          <w:iCs/>
          <w:sz w:val="24"/>
          <w:szCs w:val="24"/>
        </w:rPr>
        <w:t>except for foundation and authentication</w:t>
      </w:r>
      <w:r w:rsidRPr="00947779">
        <w:rPr>
          <w:rFonts w:ascii="Century Schoolbook" w:hAnsi="Century Schoolbook"/>
          <w:sz w:val="24"/>
          <w:szCs w:val="24"/>
        </w:rPr>
        <w:t xml:space="preserve">. Unless the parties </w:t>
      </w:r>
      <w:proofErr w:type="gramStart"/>
      <w:r w:rsidRPr="00947779">
        <w:rPr>
          <w:rFonts w:ascii="Century Schoolbook" w:hAnsi="Century Schoolbook"/>
          <w:sz w:val="24"/>
          <w:szCs w:val="24"/>
        </w:rPr>
        <w:t>stipulate to</w:t>
      </w:r>
      <w:proofErr w:type="gramEnd"/>
      <w:r w:rsidRPr="00947779">
        <w:rPr>
          <w:rFonts w:ascii="Century Schoolbook" w:hAnsi="Century Schoolbook"/>
          <w:sz w:val="24"/>
          <w:szCs w:val="24"/>
        </w:rPr>
        <w:t xml:space="preserve"> the admissibility of an exhibit, the proponent must be prepared to properly lay foundation and authenticate the document at trial. The parties shall, however, make a good faith effort to </w:t>
      </w:r>
      <w:proofErr w:type="gramStart"/>
      <w:r w:rsidRPr="00947779">
        <w:rPr>
          <w:rFonts w:ascii="Century Schoolbook" w:hAnsi="Century Schoolbook"/>
          <w:sz w:val="24"/>
          <w:szCs w:val="24"/>
        </w:rPr>
        <w:t>stipulate to</w:t>
      </w:r>
      <w:proofErr w:type="gramEnd"/>
      <w:r w:rsidRPr="00947779">
        <w:rPr>
          <w:rFonts w:ascii="Century Schoolbook" w:hAnsi="Century Schoolbook"/>
          <w:sz w:val="24"/>
          <w:szCs w:val="24"/>
        </w:rPr>
        <w:t xml:space="preserve"> the authenticity of exhibits to the extent reasonable. </w:t>
      </w:r>
    </w:p>
    <w:p w14:paraId="04E10EB9" w14:textId="77777777" w:rsidR="00947779" w:rsidRDefault="00947779" w:rsidP="00947779">
      <w:pPr>
        <w:spacing w:after="0" w:line="240" w:lineRule="auto"/>
        <w:ind w:firstLine="720"/>
        <w:jc w:val="both"/>
        <w:rPr>
          <w:rFonts w:ascii="Century Schoolbook" w:hAnsi="Century Schoolbook"/>
          <w:sz w:val="24"/>
          <w:szCs w:val="24"/>
        </w:rPr>
      </w:pPr>
    </w:p>
    <w:p w14:paraId="0DA0D843" w14:textId="03C70395" w:rsidR="004B0A85" w:rsidRPr="00947779" w:rsidRDefault="004B0A85" w:rsidP="00947779">
      <w:pPr>
        <w:spacing w:after="0" w:line="240" w:lineRule="auto"/>
        <w:ind w:firstLine="720"/>
        <w:jc w:val="both"/>
        <w:rPr>
          <w:rFonts w:ascii="Century Schoolbook" w:hAnsi="Century Schoolbook"/>
          <w:sz w:val="24"/>
          <w:szCs w:val="24"/>
        </w:rPr>
      </w:pPr>
      <w:r w:rsidRPr="00947779">
        <w:rPr>
          <w:rFonts w:ascii="Century Schoolbook" w:hAnsi="Century Schoolbook"/>
          <w:sz w:val="24"/>
          <w:szCs w:val="24"/>
        </w:rPr>
        <w:t>In addition to substantive exhibits and Rule 1006 summary exhibits, the list should also include proposed demonstrative exhibits and any exhibits that are likely to be referred to at trial even though not allowed into evidence.</w:t>
      </w:r>
    </w:p>
    <w:p w14:paraId="30C5CB20" w14:textId="77777777" w:rsidR="004B0A85" w:rsidRPr="00947779" w:rsidRDefault="004B0A85" w:rsidP="00947779">
      <w:pPr>
        <w:spacing w:after="0" w:line="240" w:lineRule="auto"/>
        <w:jc w:val="both"/>
        <w:rPr>
          <w:rFonts w:ascii="Century Schoolbook" w:hAnsi="Century Schoolbook"/>
          <w:sz w:val="24"/>
          <w:szCs w:val="24"/>
        </w:rPr>
      </w:pPr>
    </w:p>
    <w:p w14:paraId="79A9B97D" w14:textId="08659D1B" w:rsidR="00947779" w:rsidRDefault="004B0A85" w:rsidP="00947779">
      <w:pPr>
        <w:spacing w:after="0" w:line="240" w:lineRule="auto"/>
        <w:ind w:firstLine="720"/>
        <w:jc w:val="both"/>
        <w:rPr>
          <w:rFonts w:ascii="Century Schoolbook" w:hAnsi="Century Schoolbook"/>
          <w:sz w:val="24"/>
          <w:szCs w:val="24"/>
        </w:rPr>
      </w:pPr>
      <w:r w:rsidRPr="00947779">
        <w:rPr>
          <w:rFonts w:ascii="Century Schoolbook" w:hAnsi="Century Schoolbook"/>
          <w:sz w:val="24"/>
          <w:szCs w:val="24"/>
        </w:rPr>
        <w:lastRenderedPageBreak/>
        <w:t xml:space="preserve">No later than </w:t>
      </w:r>
      <w:r w:rsidR="00947779">
        <w:rPr>
          <w:rFonts w:ascii="Century Schoolbook" w:hAnsi="Century Schoolbook"/>
          <w:sz w:val="24"/>
          <w:szCs w:val="24"/>
        </w:rPr>
        <w:t>seven business days</w:t>
      </w:r>
      <w:r w:rsidRPr="00947779">
        <w:rPr>
          <w:rFonts w:ascii="Century Schoolbook" w:hAnsi="Century Schoolbook"/>
          <w:sz w:val="24"/>
          <w:szCs w:val="24"/>
        </w:rPr>
        <w:t xml:space="preserve"> before the final pretrial conference, the parties must submit to chambers copies of objected-to exhibits. Usually, copies can be submitted by email to Proposed_Order_</w:t>
      </w:r>
      <w:r w:rsidR="00947779">
        <w:rPr>
          <w:rFonts w:ascii="Century Schoolbook" w:hAnsi="Century Schoolbook"/>
          <w:sz w:val="24"/>
          <w:szCs w:val="24"/>
        </w:rPr>
        <w:t>Alexakis</w:t>
      </w:r>
      <w:r w:rsidRPr="00947779">
        <w:rPr>
          <w:rFonts w:ascii="Century Schoolbook" w:hAnsi="Century Schoolbook"/>
          <w:sz w:val="24"/>
          <w:szCs w:val="24"/>
        </w:rPr>
        <w:t xml:space="preserve">@ilnd.uscourts.gov. Paper copies must not be delivered to chambers unless requested by </w:t>
      </w:r>
      <w:r w:rsidR="005565F2">
        <w:rPr>
          <w:rFonts w:ascii="Century Schoolbook" w:hAnsi="Century Schoolbook"/>
          <w:sz w:val="24"/>
          <w:szCs w:val="24"/>
        </w:rPr>
        <w:t>Judge Alexakis</w:t>
      </w:r>
      <w:r w:rsidRPr="00947779">
        <w:rPr>
          <w:rFonts w:ascii="Century Schoolbook" w:hAnsi="Century Schoolbook"/>
          <w:sz w:val="24"/>
          <w:szCs w:val="24"/>
        </w:rPr>
        <w:t xml:space="preserve">. </w:t>
      </w:r>
    </w:p>
    <w:p w14:paraId="062D89D2" w14:textId="77777777" w:rsidR="00947779" w:rsidRDefault="00947779" w:rsidP="00947779">
      <w:pPr>
        <w:spacing w:after="0" w:line="240" w:lineRule="auto"/>
        <w:ind w:firstLine="720"/>
        <w:jc w:val="both"/>
        <w:rPr>
          <w:rFonts w:ascii="Century Schoolbook" w:hAnsi="Century Schoolbook"/>
          <w:sz w:val="24"/>
          <w:szCs w:val="24"/>
        </w:rPr>
      </w:pPr>
    </w:p>
    <w:p w14:paraId="5921C466" w14:textId="4F8AFC5C" w:rsidR="00947779" w:rsidRDefault="004B0A85" w:rsidP="00947779">
      <w:pPr>
        <w:spacing w:after="0" w:line="240" w:lineRule="auto"/>
        <w:ind w:firstLine="720"/>
        <w:jc w:val="both"/>
        <w:rPr>
          <w:rFonts w:ascii="Century Schoolbook" w:hAnsi="Century Schoolbook"/>
          <w:sz w:val="24"/>
          <w:szCs w:val="24"/>
        </w:rPr>
      </w:pPr>
      <w:r w:rsidRPr="00947779">
        <w:rPr>
          <w:rFonts w:ascii="Century Schoolbook" w:hAnsi="Century Schoolbook"/>
          <w:sz w:val="24"/>
          <w:szCs w:val="24"/>
        </w:rPr>
        <w:t xml:space="preserve">If, due to unforeseen circumstances during trial, a party wishes to introduce an exhibit not previously listed, notice should be given as soon as possible to the opposing side and to </w:t>
      </w:r>
      <w:r w:rsidR="005565F2">
        <w:rPr>
          <w:rFonts w:ascii="Century Schoolbook" w:hAnsi="Century Schoolbook"/>
          <w:sz w:val="24"/>
          <w:szCs w:val="24"/>
        </w:rPr>
        <w:t xml:space="preserve">Judge Alexakis </w:t>
      </w:r>
      <w:r w:rsidRPr="00947779">
        <w:rPr>
          <w:rFonts w:ascii="Century Schoolbook" w:hAnsi="Century Schoolbook"/>
          <w:sz w:val="24"/>
          <w:szCs w:val="24"/>
        </w:rPr>
        <w:t xml:space="preserve">so that any objections can be discussed. Absent abuse of this process, an exhibit will not be deemed inadmissible simply because it was not included on the original exhibit list, provided the exhibit/document was earlier produced to the opposing side during discovery. </w:t>
      </w:r>
    </w:p>
    <w:p w14:paraId="47B5B4D6" w14:textId="77777777" w:rsidR="00947779" w:rsidRDefault="00947779" w:rsidP="00947779">
      <w:pPr>
        <w:spacing w:after="0" w:line="240" w:lineRule="auto"/>
        <w:ind w:firstLine="720"/>
        <w:jc w:val="both"/>
        <w:rPr>
          <w:rFonts w:ascii="Century Schoolbook" w:hAnsi="Century Schoolbook"/>
          <w:sz w:val="24"/>
          <w:szCs w:val="24"/>
        </w:rPr>
      </w:pPr>
    </w:p>
    <w:p w14:paraId="44AD3183" w14:textId="17833F72" w:rsidR="00947779" w:rsidRDefault="004B0A85" w:rsidP="00947779">
      <w:pPr>
        <w:spacing w:after="0" w:line="240" w:lineRule="auto"/>
        <w:ind w:firstLine="720"/>
        <w:jc w:val="both"/>
        <w:rPr>
          <w:rFonts w:ascii="Century Schoolbook" w:hAnsi="Century Schoolbook"/>
          <w:sz w:val="24"/>
          <w:szCs w:val="24"/>
        </w:rPr>
      </w:pPr>
      <w:r w:rsidRPr="00947779">
        <w:rPr>
          <w:rFonts w:ascii="Century Schoolbook" w:hAnsi="Century Schoolbook"/>
          <w:sz w:val="24"/>
          <w:szCs w:val="24"/>
        </w:rPr>
        <w:t xml:space="preserve">At least </w:t>
      </w:r>
      <w:r w:rsidR="00947779">
        <w:rPr>
          <w:rFonts w:ascii="Century Schoolbook" w:hAnsi="Century Schoolbook"/>
          <w:sz w:val="24"/>
          <w:szCs w:val="24"/>
        </w:rPr>
        <w:t xml:space="preserve">five </w:t>
      </w:r>
      <w:r w:rsidRPr="00947779">
        <w:rPr>
          <w:rFonts w:ascii="Century Schoolbook" w:hAnsi="Century Schoolbook"/>
          <w:sz w:val="24"/>
          <w:szCs w:val="24"/>
        </w:rPr>
        <w:t xml:space="preserve">business days before the pre-trial conference, the parties must submit to chambers </w:t>
      </w:r>
      <w:proofErr w:type="gramStart"/>
      <w:r w:rsidRPr="00947779">
        <w:rPr>
          <w:rFonts w:ascii="Century Schoolbook" w:hAnsi="Century Schoolbook"/>
          <w:sz w:val="24"/>
          <w:szCs w:val="24"/>
        </w:rPr>
        <w:t>all of</w:t>
      </w:r>
      <w:proofErr w:type="gramEnd"/>
      <w:r w:rsidRPr="00947779">
        <w:rPr>
          <w:rFonts w:ascii="Century Schoolbook" w:hAnsi="Century Schoolbook"/>
          <w:sz w:val="24"/>
          <w:szCs w:val="24"/>
        </w:rPr>
        <w:t xml:space="preserve"> the proposed exhibits using a box.com link the Court</w:t>
      </w:r>
      <w:r w:rsidR="008D6EC7">
        <w:rPr>
          <w:rFonts w:ascii="Century Schoolbook" w:hAnsi="Century Schoolbook"/>
          <w:sz w:val="24"/>
          <w:szCs w:val="24"/>
        </w:rPr>
        <w:t>room Deputy</w:t>
      </w:r>
      <w:r w:rsidRPr="00947779">
        <w:rPr>
          <w:rFonts w:ascii="Century Schoolbook" w:hAnsi="Century Schoolbook"/>
          <w:sz w:val="24"/>
          <w:szCs w:val="24"/>
        </w:rPr>
        <w:t xml:space="preserve"> will provide upon</w:t>
      </w:r>
      <w:r w:rsidR="00947779">
        <w:rPr>
          <w:rFonts w:ascii="Century Schoolbook" w:hAnsi="Century Schoolbook"/>
          <w:sz w:val="24"/>
          <w:szCs w:val="24"/>
        </w:rPr>
        <w:t xml:space="preserve"> </w:t>
      </w:r>
      <w:r w:rsidRPr="00947779">
        <w:rPr>
          <w:rFonts w:ascii="Century Schoolbook" w:hAnsi="Century Schoolbook"/>
          <w:sz w:val="24"/>
          <w:szCs w:val="24"/>
        </w:rPr>
        <w:t xml:space="preserve">request. Any exhibit in .pdf format should undergo Optical Character Recognition (OCR) and be </w:t>
      </w:r>
      <w:proofErr w:type="gramStart"/>
      <w:r w:rsidRPr="00947779">
        <w:rPr>
          <w:rFonts w:ascii="Century Schoolbook" w:hAnsi="Century Schoolbook"/>
          <w:sz w:val="24"/>
          <w:szCs w:val="24"/>
        </w:rPr>
        <w:t>text-searchable</w:t>
      </w:r>
      <w:proofErr w:type="gramEnd"/>
      <w:r w:rsidRPr="00947779">
        <w:rPr>
          <w:rFonts w:ascii="Century Schoolbook" w:hAnsi="Century Schoolbook"/>
          <w:sz w:val="24"/>
          <w:szCs w:val="24"/>
        </w:rPr>
        <w:t xml:space="preserve">. </w:t>
      </w:r>
    </w:p>
    <w:p w14:paraId="1E380DF3" w14:textId="77777777" w:rsidR="00947779" w:rsidRDefault="00947779" w:rsidP="00947779">
      <w:pPr>
        <w:spacing w:after="0" w:line="240" w:lineRule="auto"/>
        <w:ind w:firstLine="720"/>
        <w:jc w:val="both"/>
        <w:rPr>
          <w:rFonts w:ascii="Century Schoolbook" w:hAnsi="Century Schoolbook"/>
          <w:sz w:val="24"/>
          <w:szCs w:val="24"/>
        </w:rPr>
      </w:pPr>
    </w:p>
    <w:p w14:paraId="72F0FBE5" w14:textId="165E685C" w:rsidR="00947779" w:rsidRDefault="004B0A85" w:rsidP="00947779">
      <w:pPr>
        <w:spacing w:after="0" w:line="240" w:lineRule="auto"/>
        <w:ind w:firstLine="720"/>
        <w:jc w:val="both"/>
        <w:rPr>
          <w:rFonts w:ascii="Century Schoolbook" w:hAnsi="Century Schoolbook"/>
          <w:sz w:val="24"/>
          <w:szCs w:val="24"/>
        </w:rPr>
      </w:pPr>
      <w:r w:rsidRPr="00947779">
        <w:rPr>
          <w:rFonts w:ascii="Century Schoolbook" w:hAnsi="Century Schoolbook"/>
          <w:sz w:val="24"/>
          <w:szCs w:val="24"/>
        </w:rPr>
        <w:t xml:space="preserve">8. </w:t>
      </w:r>
      <w:r w:rsidRPr="00947779">
        <w:rPr>
          <w:rFonts w:ascii="Century Schoolbook" w:hAnsi="Century Schoolbook"/>
          <w:i/>
          <w:iCs/>
          <w:sz w:val="24"/>
          <w:szCs w:val="24"/>
        </w:rPr>
        <w:t>Deposition Designations.</w:t>
      </w:r>
      <w:r w:rsidRPr="00947779">
        <w:rPr>
          <w:rFonts w:ascii="Century Schoolbook" w:hAnsi="Century Schoolbook"/>
          <w:sz w:val="24"/>
          <w:szCs w:val="24"/>
        </w:rPr>
        <w:t xml:space="preserve"> If a party proposes to introduce a witness’s testimony via a deposition rather than live testimony, then the offering party must serve the page/line designations of the deposition transcript on the opposing party 10 business days in advance of the pretrial order’s due date. The opposing party must serve objections to designations (including a concise basis for the objection, like the Exhibit Chart) </w:t>
      </w:r>
      <w:proofErr w:type="gramStart"/>
      <w:r w:rsidRPr="00947779">
        <w:rPr>
          <w:rFonts w:ascii="Century Schoolbook" w:hAnsi="Century Schoolbook"/>
          <w:sz w:val="24"/>
          <w:szCs w:val="24"/>
        </w:rPr>
        <w:t>and also</w:t>
      </w:r>
      <w:proofErr w:type="gramEnd"/>
      <w:r w:rsidRPr="00947779">
        <w:rPr>
          <w:rFonts w:ascii="Century Schoolbook" w:hAnsi="Century Schoolbook"/>
          <w:sz w:val="24"/>
          <w:szCs w:val="24"/>
        </w:rPr>
        <w:t xml:space="preserve"> state the opposing party’s counter-designations (including counter-designations conditioned on an objection being overruled) </w:t>
      </w:r>
      <w:r w:rsidR="00947779">
        <w:rPr>
          <w:rFonts w:ascii="Century Schoolbook" w:hAnsi="Century Schoolbook"/>
          <w:sz w:val="24"/>
          <w:szCs w:val="24"/>
        </w:rPr>
        <w:t>five</w:t>
      </w:r>
      <w:r w:rsidRPr="00947779">
        <w:rPr>
          <w:rFonts w:ascii="Century Schoolbook" w:hAnsi="Century Schoolbook"/>
          <w:sz w:val="24"/>
          <w:szCs w:val="24"/>
        </w:rPr>
        <w:t xml:space="preserve"> business days in advance of the pretrial order’s due date. The parties shall generate a joint document, using the template on </w:t>
      </w:r>
      <w:r w:rsidR="009E605E">
        <w:rPr>
          <w:rFonts w:ascii="Century Schoolbook" w:hAnsi="Century Schoolbook"/>
          <w:sz w:val="24"/>
          <w:szCs w:val="24"/>
        </w:rPr>
        <w:t xml:space="preserve">Judge Alexakis’ </w:t>
      </w:r>
      <w:r w:rsidRPr="00947779">
        <w:rPr>
          <w:rFonts w:ascii="Century Schoolbook" w:hAnsi="Century Schoolbook"/>
          <w:sz w:val="24"/>
          <w:szCs w:val="24"/>
        </w:rPr>
        <w:t>webpage, that sets forth—by witness and page number—the designation by page and line number, objection, counter-designation if objection overruled, any counter</w:t>
      </w:r>
      <w:r w:rsidR="000F44BC">
        <w:rPr>
          <w:rFonts w:ascii="Century Schoolbook" w:hAnsi="Century Schoolbook"/>
          <w:sz w:val="24"/>
          <w:szCs w:val="24"/>
        </w:rPr>
        <w:t>-</w:t>
      </w:r>
      <w:r w:rsidRPr="00947779">
        <w:rPr>
          <w:rFonts w:ascii="Century Schoolbook" w:hAnsi="Century Schoolbook"/>
          <w:sz w:val="24"/>
          <w:szCs w:val="24"/>
        </w:rPr>
        <w:t xml:space="preserve">designations, and any objections to the counter-designations (again with a concise basis for the objection). </w:t>
      </w:r>
      <w:r w:rsidR="00947779">
        <w:rPr>
          <w:rFonts w:ascii="Century Schoolbook" w:hAnsi="Century Schoolbook"/>
          <w:sz w:val="24"/>
          <w:szCs w:val="24"/>
        </w:rPr>
        <w:t>G</w:t>
      </w:r>
      <w:r w:rsidRPr="00947779">
        <w:rPr>
          <w:rFonts w:ascii="Century Schoolbook" w:hAnsi="Century Schoolbook"/>
          <w:sz w:val="24"/>
          <w:szCs w:val="24"/>
        </w:rPr>
        <w:t>rounds to sustain or overrule an objection that are not included in the chart may be waived. The parties should include any objected-to portions of the designated deposition testimony in the submission to chambers as described for “</w:t>
      </w:r>
      <w:r w:rsidRPr="00947779">
        <w:rPr>
          <w:rFonts w:ascii="Century Schoolbook" w:hAnsi="Century Schoolbook"/>
          <w:i/>
          <w:iCs/>
          <w:sz w:val="24"/>
          <w:szCs w:val="24"/>
        </w:rPr>
        <w:t>Exhibits and Exhibit Charts</w:t>
      </w:r>
      <w:r w:rsidRPr="00947779">
        <w:rPr>
          <w:rFonts w:ascii="Century Schoolbook" w:hAnsi="Century Schoolbook"/>
          <w:sz w:val="24"/>
          <w:szCs w:val="24"/>
        </w:rPr>
        <w:t xml:space="preserve">” above; the parties must also provide complete transcripts to </w:t>
      </w:r>
      <w:r w:rsidR="009E605E">
        <w:rPr>
          <w:rFonts w:ascii="Century Schoolbook" w:hAnsi="Century Schoolbook"/>
          <w:sz w:val="24"/>
          <w:szCs w:val="24"/>
        </w:rPr>
        <w:t xml:space="preserve">Judge Alexakis </w:t>
      </w:r>
      <w:r w:rsidRPr="00947779">
        <w:rPr>
          <w:rFonts w:ascii="Century Schoolbook" w:hAnsi="Century Schoolbook"/>
          <w:sz w:val="24"/>
          <w:szCs w:val="24"/>
        </w:rPr>
        <w:t xml:space="preserve">by email or by citing the docket entry where the transcript appears. Materials can be submitted by email to </w:t>
      </w:r>
      <w:r w:rsidR="008D6EC7">
        <w:rPr>
          <w:rFonts w:ascii="Century Schoolbook" w:hAnsi="Century Schoolbook"/>
          <w:sz w:val="24"/>
          <w:szCs w:val="24"/>
        </w:rPr>
        <w:t>P</w:t>
      </w:r>
      <w:r w:rsidRPr="00947779">
        <w:rPr>
          <w:rFonts w:ascii="Century Schoolbook" w:hAnsi="Century Schoolbook"/>
          <w:sz w:val="24"/>
          <w:szCs w:val="24"/>
        </w:rPr>
        <w:t>roposed_</w:t>
      </w:r>
      <w:r w:rsidR="008D6EC7">
        <w:rPr>
          <w:rFonts w:ascii="Century Schoolbook" w:hAnsi="Century Schoolbook"/>
          <w:sz w:val="24"/>
          <w:szCs w:val="24"/>
        </w:rPr>
        <w:t>O</w:t>
      </w:r>
      <w:r w:rsidRPr="00947779">
        <w:rPr>
          <w:rFonts w:ascii="Century Schoolbook" w:hAnsi="Century Schoolbook"/>
          <w:sz w:val="24"/>
          <w:szCs w:val="24"/>
        </w:rPr>
        <w:t>rder_</w:t>
      </w:r>
      <w:r w:rsidR="008D6EC7">
        <w:rPr>
          <w:rFonts w:ascii="Century Schoolbook" w:hAnsi="Century Schoolbook"/>
          <w:sz w:val="24"/>
          <w:szCs w:val="24"/>
        </w:rPr>
        <w:t>Alexakis</w:t>
      </w:r>
      <w:r w:rsidRPr="00947779">
        <w:rPr>
          <w:rFonts w:ascii="Century Schoolbook" w:hAnsi="Century Schoolbook"/>
          <w:sz w:val="24"/>
          <w:szCs w:val="24"/>
        </w:rPr>
        <w:t xml:space="preserve">@ilnd.uscourts.gov. Paper copies must </w:t>
      </w:r>
      <w:r w:rsidRPr="00947779">
        <w:rPr>
          <w:rFonts w:ascii="Century Schoolbook" w:hAnsi="Century Schoolbook"/>
          <w:b/>
          <w:bCs/>
          <w:sz w:val="24"/>
          <w:szCs w:val="24"/>
          <w:u w:val="single"/>
        </w:rPr>
        <w:t>not</w:t>
      </w:r>
      <w:r w:rsidRPr="00947779">
        <w:rPr>
          <w:rFonts w:ascii="Century Schoolbook" w:hAnsi="Century Schoolbook"/>
          <w:sz w:val="24"/>
          <w:szCs w:val="24"/>
        </w:rPr>
        <w:t xml:space="preserve"> be delivered to chambers unless requested by </w:t>
      </w:r>
      <w:r w:rsidR="009E605E">
        <w:rPr>
          <w:rFonts w:ascii="Century Schoolbook" w:hAnsi="Century Schoolbook"/>
          <w:sz w:val="24"/>
          <w:szCs w:val="24"/>
        </w:rPr>
        <w:t>Judge Alexakis</w:t>
      </w:r>
      <w:r w:rsidRPr="00947779">
        <w:rPr>
          <w:rFonts w:ascii="Century Schoolbook" w:hAnsi="Century Schoolbook"/>
          <w:sz w:val="24"/>
          <w:szCs w:val="24"/>
        </w:rPr>
        <w:t xml:space="preserve">. </w:t>
      </w:r>
    </w:p>
    <w:p w14:paraId="6D1EA84C" w14:textId="77777777" w:rsidR="00947779" w:rsidRDefault="00947779" w:rsidP="00947779">
      <w:pPr>
        <w:spacing w:after="0" w:line="240" w:lineRule="auto"/>
        <w:ind w:firstLine="720"/>
        <w:jc w:val="both"/>
        <w:rPr>
          <w:rFonts w:ascii="Century Schoolbook" w:hAnsi="Century Schoolbook"/>
          <w:sz w:val="24"/>
          <w:szCs w:val="24"/>
        </w:rPr>
      </w:pPr>
    </w:p>
    <w:p w14:paraId="379A8A7B" w14:textId="77777777" w:rsidR="00947779" w:rsidRDefault="004B0A85" w:rsidP="00947779">
      <w:pPr>
        <w:spacing w:after="0" w:line="240" w:lineRule="auto"/>
        <w:ind w:firstLine="720"/>
        <w:jc w:val="both"/>
        <w:rPr>
          <w:rFonts w:ascii="Century Schoolbook" w:hAnsi="Century Schoolbook"/>
          <w:sz w:val="24"/>
          <w:szCs w:val="24"/>
        </w:rPr>
      </w:pPr>
      <w:r w:rsidRPr="00947779">
        <w:rPr>
          <w:rFonts w:ascii="Century Schoolbook" w:hAnsi="Century Schoolbook"/>
          <w:sz w:val="24"/>
          <w:szCs w:val="24"/>
        </w:rPr>
        <w:t xml:space="preserve">9. </w:t>
      </w:r>
      <w:r w:rsidRPr="00947779">
        <w:rPr>
          <w:rFonts w:ascii="Century Schoolbook" w:hAnsi="Century Schoolbook"/>
          <w:i/>
          <w:iCs/>
          <w:sz w:val="24"/>
          <w:szCs w:val="24"/>
        </w:rPr>
        <w:t>Damages Itemization</w:t>
      </w:r>
      <w:r w:rsidRPr="00947779">
        <w:rPr>
          <w:rFonts w:ascii="Century Schoolbook" w:hAnsi="Century Schoolbook"/>
          <w:sz w:val="24"/>
          <w:szCs w:val="24"/>
        </w:rPr>
        <w:t xml:space="preserve">. Plaintiff (and counter/cross-claimants, if any) shall itemize damages and other relief sought. </w:t>
      </w:r>
    </w:p>
    <w:p w14:paraId="50BF8457" w14:textId="77777777" w:rsidR="00947779" w:rsidRDefault="00947779" w:rsidP="00947779">
      <w:pPr>
        <w:spacing w:after="0" w:line="240" w:lineRule="auto"/>
        <w:ind w:firstLine="720"/>
        <w:jc w:val="both"/>
        <w:rPr>
          <w:rFonts w:ascii="Century Schoolbook" w:hAnsi="Century Schoolbook"/>
          <w:sz w:val="24"/>
          <w:szCs w:val="24"/>
        </w:rPr>
      </w:pPr>
    </w:p>
    <w:p w14:paraId="4DDA7CB1" w14:textId="0F7EAD3A" w:rsidR="00D9490E" w:rsidRPr="007E644E" w:rsidRDefault="004B0A85" w:rsidP="007E644E">
      <w:pPr>
        <w:spacing w:after="0" w:line="240" w:lineRule="auto"/>
        <w:ind w:firstLine="720"/>
        <w:jc w:val="both"/>
        <w:rPr>
          <w:rFonts w:ascii="Century Schoolbook" w:hAnsi="Century Schoolbook"/>
          <w:color w:val="000000" w:themeColor="text1"/>
          <w:sz w:val="24"/>
          <w:szCs w:val="24"/>
        </w:rPr>
      </w:pPr>
      <w:r w:rsidRPr="00947779">
        <w:rPr>
          <w:rFonts w:ascii="Century Schoolbook" w:hAnsi="Century Schoolbook"/>
          <w:sz w:val="24"/>
          <w:szCs w:val="24"/>
        </w:rPr>
        <w:t xml:space="preserve">10. </w:t>
      </w:r>
      <w:r w:rsidRPr="00947779">
        <w:rPr>
          <w:rFonts w:ascii="Century Schoolbook" w:hAnsi="Century Schoolbook"/>
          <w:i/>
          <w:iCs/>
          <w:sz w:val="24"/>
          <w:szCs w:val="24"/>
        </w:rPr>
        <w:t>Motions in Limine</w:t>
      </w:r>
      <w:r w:rsidRPr="00947779">
        <w:rPr>
          <w:rFonts w:ascii="Century Schoolbook" w:hAnsi="Century Schoolbook"/>
          <w:sz w:val="24"/>
          <w:szCs w:val="24"/>
        </w:rPr>
        <w:t xml:space="preserve">. In the Proposed Pretrial Order, each party must provide a list that very briefly summarizes its motions in limine, e.g., “Motion to bar reference to Witness A’s drug use.” Motions in limine must be filed on the docket by the due date set by </w:t>
      </w:r>
      <w:r w:rsidR="003B70A5">
        <w:rPr>
          <w:rFonts w:ascii="Century Schoolbook" w:hAnsi="Century Schoolbook"/>
          <w:sz w:val="24"/>
          <w:szCs w:val="24"/>
        </w:rPr>
        <w:t xml:space="preserve">Judge Alexakis. As noted earlier, </w:t>
      </w:r>
      <w:r w:rsidR="003B70A5" w:rsidRPr="00665A66">
        <w:rPr>
          <w:rStyle w:val="Hyperlink"/>
          <w:rFonts w:ascii="Century Schoolbook" w:hAnsi="Century Schoolbook"/>
          <w:color w:val="000000" w:themeColor="text1"/>
          <w:sz w:val="24"/>
          <w:szCs w:val="24"/>
          <w:u w:val="none"/>
        </w:rPr>
        <w:t xml:space="preserve">generally, once </w:t>
      </w:r>
      <w:r w:rsidR="003B70A5" w:rsidRPr="00665A66">
        <w:rPr>
          <w:rStyle w:val="cf01"/>
          <w:rFonts w:ascii="Century Schoolbook" w:hAnsi="Century Schoolbook"/>
          <w:color w:val="000000" w:themeColor="text1"/>
          <w:sz w:val="24"/>
          <w:szCs w:val="24"/>
        </w:rPr>
        <w:t xml:space="preserve">a trial date has been set, </w:t>
      </w:r>
      <w:r w:rsidR="003B70A5" w:rsidRPr="00665A66">
        <w:rPr>
          <w:rStyle w:val="cf01"/>
          <w:rFonts w:ascii="Century Schoolbook" w:hAnsi="Century Schoolbook"/>
          <w:color w:val="000000" w:themeColor="text1"/>
          <w:sz w:val="24"/>
          <w:szCs w:val="24"/>
        </w:rPr>
        <w:lastRenderedPageBreak/>
        <w:t>the parties can expect that motions in limine will be due six weeks before trial; responses to motions in limine will be due four weeks before trial</w:t>
      </w:r>
      <w:r w:rsidR="007E644E">
        <w:rPr>
          <w:rFonts w:ascii="Century Schoolbook" w:hAnsi="Century Schoolbook"/>
          <w:color w:val="000000" w:themeColor="text1"/>
          <w:sz w:val="24"/>
          <w:szCs w:val="24"/>
        </w:rPr>
        <w:t xml:space="preserve">. </w:t>
      </w:r>
      <w:r w:rsidRPr="00947779">
        <w:rPr>
          <w:rFonts w:ascii="Century Schoolbook" w:hAnsi="Century Schoolbook"/>
          <w:sz w:val="24"/>
          <w:szCs w:val="24"/>
        </w:rPr>
        <w:t xml:space="preserve">No replies may be filed without </w:t>
      </w:r>
      <w:r w:rsidR="007E644E">
        <w:rPr>
          <w:rFonts w:ascii="Century Schoolbook" w:hAnsi="Century Schoolbook"/>
          <w:sz w:val="24"/>
          <w:szCs w:val="24"/>
        </w:rPr>
        <w:t xml:space="preserve">prior </w:t>
      </w:r>
      <w:r w:rsidRPr="00947779">
        <w:rPr>
          <w:rFonts w:ascii="Century Schoolbook" w:hAnsi="Century Schoolbook"/>
          <w:sz w:val="24"/>
          <w:szCs w:val="24"/>
        </w:rPr>
        <w:t xml:space="preserve">leave. </w:t>
      </w:r>
    </w:p>
    <w:p w14:paraId="2CAB157A" w14:textId="77777777" w:rsidR="00DF3FDB" w:rsidRDefault="00DF3FDB" w:rsidP="00DF3FDB">
      <w:pPr>
        <w:spacing w:after="0" w:line="240" w:lineRule="auto"/>
        <w:jc w:val="both"/>
        <w:rPr>
          <w:rFonts w:ascii="Century Schoolbook" w:hAnsi="Century Schoolbook"/>
          <w:sz w:val="24"/>
          <w:szCs w:val="24"/>
        </w:rPr>
      </w:pPr>
    </w:p>
    <w:p w14:paraId="5A32941E" w14:textId="26DAFFFE" w:rsidR="00947779" w:rsidRDefault="007E644E" w:rsidP="00DF3FDB">
      <w:pPr>
        <w:spacing w:after="0" w:line="240" w:lineRule="auto"/>
        <w:ind w:firstLine="720"/>
        <w:jc w:val="both"/>
        <w:rPr>
          <w:rFonts w:ascii="Century Schoolbook" w:hAnsi="Century Schoolbook"/>
          <w:sz w:val="24"/>
          <w:szCs w:val="24"/>
        </w:rPr>
      </w:pPr>
      <w:r>
        <w:rPr>
          <w:rFonts w:ascii="Century Schoolbook" w:hAnsi="Century Schoolbook"/>
          <w:sz w:val="24"/>
          <w:szCs w:val="24"/>
        </w:rPr>
        <w:t xml:space="preserve">Judge Alexakis </w:t>
      </w:r>
      <w:r w:rsidR="00DF3FDB" w:rsidRPr="00DF3FDB">
        <w:rPr>
          <w:rFonts w:ascii="Century Schoolbook" w:hAnsi="Century Schoolbook"/>
          <w:sz w:val="24"/>
          <w:szCs w:val="24"/>
        </w:rPr>
        <w:t>discourages the filing of “boilerplate” motions in limine or motions that address matters not in dispute. </w:t>
      </w:r>
      <w:r w:rsidR="004B0A85" w:rsidRPr="00947779">
        <w:rPr>
          <w:rFonts w:ascii="Century Schoolbook" w:hAnsi="Century Schoolbook"/>
          <w:sz w:val="24"/>
          <w:szCs w:val="24"/>
        </w:rPr>
        <w:t xml:space="preserve">Any motion in limine filed by a party must be accompanied by a statement that the party has conferred with the opposing party and the opposing party </w:t>
      </w:r>
      <w:proofErr w:type="gramStart"/>
      <w:r w:rsidR="004B0A85" w:rsidRPr="00947779">
        <w:rPr>
          <w:rFonts w:ascii="Century Schoolbook" w:hAnsi="Century Schoolbook"/>
          <w:sz w:val="24"/>
          <w:szCs w:val="24"/>
        </w:rPr>
        <w:t>actually intends</w:t>
      </w:r>
      <w:proofErr w:type="gramEnd"/>
      <w:r w:rsidR="004B0A85" w:rsidRPr="00947779">
        <w:rPr>
          <w:rFonts w:ascii="Century Schoolbook" w:hAnsi="Century Schoolbook"/>
          <w:sz w:val="24"/>
          <w:szCs w:val="24"/>
        </w:rPr>
        <w:t xml:space="preserve"> to offer the evidence that the movant seeks to exclude, or actually opposes admission of the evidence that the movant seeks to include. If the meet-and-confer process results in agreement over evidentiary issues, that agreement may be memorialized in a stipulation </w:t>
      </w:r>
      <w:proofErr w:type="gramStart"/>
      <w:r w:rsidR="004B0A85" w:rsidRPr="00947779">
        <w:rPr>
          <w:rFonts w:ascii="Century Schoolbook" w:hAnsi="Century Schoolbook"/>
          <w:sz w:val="24"/>
          <w:szCs w:val="24"/>
        </w:rPr>
        <w:t>entered into</w:t>
      </w:r>
      <w:proofErr w:type="gramEnd"/>
      <w:r w:rsidR="004B0A85" w:rsidRPr="00947779">
        <w:rPr>
          <w:rFonts w:ascii="Century Schoolbook" w:hAnsi="Century Schoolbook"/>
          <w:sz w:val="24"/>
          <w:szCs w:val="24"/>
        </w:rPr>
        <w:t xml:space="preserve"> at the final pretrial conference. </w:t>
      </w:r>
    </w:p>
    <w:p w14:paraId="5375ED9C" w14:textId="77777777" w:rsidR="001859EE" w:rsidRDefault="001859EE" w:rsidP="00947779">
      <w:pPr>
        <w:spacing w:after="0" w:line="240" w:lineRule="auto"/>
        <w:ind w:firstLine="720"/>
        <w:jc w:val="both"/>
        <w:rPr>
          <w:rFonts w:ascii="Century Schoolbook" w:hAnsi="Century Schoolbook"/>
          <w:sz w:val="24"/>
          <w:szCs w:val="24"/>
        </w:rPr>
      </w:pPr>
    </w:p>
    <w:p w14:paraId="4D7F6CDD" w14:textId="3A9B768F" w:rsidR="001859EE" w:rsidRPr="000A1E8C" w:rsidRDefault="000A1E8C" w:rsidP="00947779">
      <w:pPr>
        <w:spacing w:after="0" w:line="240" w:lineRule="auto"/>
        <w:ind w:firstLine="720"/>
        <w:jc w:val="both"/>
        <w:rPr>
          <w:rFonts w:ascii="Century Schoolbook" w:hAnsi="Century Schoolbook"/>
          <w:sz w:val="24"/>
          <w:szCs w:val="24"/>
        </w:rPr>
      </w:pPr>
      <w:r w:rsidRPr="000A1E8C">
        <w:rPr>
          <w:rFonts w:ascii="Century Schoolbook" w:hAnsi="Century Schoolbook"/>
          <w:sz w:val="24"/>
          <w:szCs w:val="24"/>
        </w:rPr>
        <w:t>Absent prior leave, motions in limine (not including exhibits) are limited to a total of 25 pages per party (not per motion), and responses (not including exhibits) are likewise limited to a total of 25 pages per party. No replies are to be filed without prior leave of Court.</w:t>
      </w:r>
    </w:p>
    <w:p w14:paraId="1C23A66F" w14:textId="77777777" w:rsidR="00947779" w:rsidRDefault="00947779" w:rsidP="00947779">
      <w:pPr>
        <w:spacing w:after="0" w:line="240" w:lineRule="auto"/>
        <w:ind w:firstLine="720"/>
        <w:jc w:val="both"/>
        <w:rPr>
          <w:rFonts w:ascii="Century Schoolbook" w:hAnsi="Century Schoolbook"/>
          <w:sz w:val="24"/>
          <w:szCs w:val="24"/>
        </w:rPr>
      </w:pPr>
    </w:p>
    <w:p w14:paraId="663EF68F" w14:textId="4EEE84CA" w:rsidR="00D83153" w:rsidRDefault="00D83153" w:rsidP="00D83153">
      <w:pPr>
        <w:spacing w:after="0" w:line="240" w:lineRule="auto"/>
        <w:ind w:firstLine="720"/>
        <w:jc w:val="both"/>
        <w:rPr>
          <w:rStyle w:val="cf01"/>
          <w:rFonts w:ascii="Century Schoolbook" w:hAnsi="Century Schoolbook"/>
          <w:color w:val="000000" w:themeColor="text1"/>
          <w:sz w:val="24"/>
          <w:szCs w:val="24"/>
        </w:rPr>
      </w:pPr>
      <w:r w:rsidRPr="0020675E">
        <w:rPr>
          <w:rFonts w:ascii="Century Schoolbook" w:hAnsi="Century Schoolbook" w:cs="Segoe UI"/>
          <w:color w:val="000000" w:themeColor="text1"/>
          <w:sz w:val="24"/>
          <w:szCs w:val="24"/>
          <w:shd w:val="clear" w:color="auto" w:fill="FFFFFF"/>
        </w:rPr>
        <w:t xml:space="preserve">The above page limitations do not apply to motions challenging the admissibility of Rule 702 expert testimony. Such </w:t>
      </w:r>
      <w:r w:rsidRPr="00FB13F8">
        <w:rPr>
          <w:rFonts w:ascii="Century Schoolbook" w:hAnsi="Century Schoolbook" w:cs="Segoe UI"/>
          <w:i/>
          <w:iCs/>
          <w:color w:val="000000" w:themeColor="text1"/>
          <w:sz w:val="24"/>
          <w:szCs w:val="24"/>
          <w:shd w:val="clear" w:color="auto" w:fill="FFFFFF"/>
        </w:rPr>
        <w:t>Daubert</w:t>
      </w:r>
      <w:r w:rsidRPr="0020675E">
        <w:rPr>
          <w:rFonts w:ascii="Century Schoolbook" w:hAnsi="Century Schoolbook" w:cs="Segoe UI"/>
          <w:color w:val="000000" w:themeColor="text1"/>
          <w:sz w:val="24"/>
          <w:szCs w:val="24"/>
          <w:shd w:val="clear" w:color="auto" w:fill="FFFFFF"/>
        </w:rPr>
        <w:t xml:space="preserve"> motions should be filed separately and as soon as reasonably possible and no later than two months prior to the final pretrial conference. As with motions in limine, the parties are required to meet and confer before the filing of any </w:t>
      </w:r>
      <w:r w:rsidRPr="00FB13F8">
        <w:rPr>
          <w:rFonts w:ascii="Century Schoolbook" w:hAnsi="Century Schoolbook" w:cs="Segoe UI"/>
          <w:i/>
          <w:iCs/>
          <w:color w:val="000000" w:themeColor="text1"/>
          <w:sz w:val="24"/>
          <w:szCs w:val="24"/>
          <w:shd w:val="clear" w:color="auto" w:fill="FFFFFF"/>
        </w:rPr>
        <w:t>Daubert</w:t>
      </w:r>
      <w:r w:rsidRPr="0020675E">
        <w:rPr>
          <w:rFonts w:ascii="Century Schoolbook" w:hAnsi="Century Schoolbook" w:cs="Segoe UI"/>
          <w:color w:val="000000" w:themeColor="text1"/>
          <w:sz w:val="24"/>
          <w:szCs w:val="24"/>
          <w:shd w:val="clear" w:color="auto" w:fill="FFFFFF"/>
        </w:rPr>
        <w:t xml:space="preserve"> motion to ensure that the opinions sought to be barred will be offered at trial. </w:t>
      </w:r>
    </w:p>
    <w:p w14:paraId="46CA9EE8" w14:textId="77777777" w:rsidR="00D83153" w:rsidRDefault="00D83153" w:rsidP="00FB13F8">
      <w:pPr>
        <w:spacing w:after="0" w:line="240" w:lineRule="auto"/>
        <w:jc w:val="both"/>
        <w:rPr>
          <w:rFonts w:ascii="Century Schoolbook" w:hAnsi="Century Schoolbook"/>
          <w:sz w:val="24"/>
          <w:szCs w:val="24"/>
        </w:rPr>
      </w:pPr>
    </w:p>
    <w:p w14:paraId="2530BA57" w14:textId="77777777" w:rsidR="008D6EC7" w:rsidRDefault="004B0A85" w:rsidP="008D6EC7">
      <w:pPr>
        <w:spacing w:after="0" w:line="240" w:lineRule="auto"/>
        <w:ind w:firstLine="720"/>
        <w:jc w:val="both"/>
        <w:rPr>
          <w:rFonts w:ascii="Century Schoolbook" w:hAnsi="Century Schoolbook"/>
          <w:sz w:val="24"/>
          <w:szCs w:val="24"/>
        </w:rPr>
      </w:pPr>
      <w:r w:rsidRPr="00947779">
        <w:rPr>
          <w:rFonts w:ascii="Century Schoolbook" w:hAnsi="Century Schoolbook"/>
          <w:sz w:val="24"/>
          <w:szCs w:val="24"/>
        </w:rPr>
        <w:t xml:space="preserve">11. </w:t>
      </w:r>
      <w:r w:rsidRPr="00947779">
        <w:rPr>
          <w:rFonts w:ascii="Century Schoolbook" w:hAnsi="Century Schoolbook"/>
          <w:i/>
          <w:iCs/>
          <w:sz w:val="24"/>
          <w:szCs w:val="24"/>
        </w:rPr>
        <w:t>Voir Dire Questions</w:t>
      </w:r>
      <w:r w:rsidRPr="00947779">
        <w:rPr>
          <w:rFonts w:ascii="Century Schoolbook" w:hAnsi="Century Schoolbook"/>
          <w:sz w:val="24"/>
          <w:szCs w:val="24"/>
        </w:rPr>
        <w:t xml:space="preserve">. Judge </w:t>
      </w:r>
      <w:r w:rsidR="00947779">
        <w:rPr>
          <w:rFonts w:ascii="Century Schoolbook" w:hAnsi="Century Schoolbook"/>
          <w:sz w:val="24"/>
          <w:szCs w:val="24"/>
        </w:rPr>
        <w:t xml:space="preserve">Alexakis </w:t>
      </w:r>
      <w:r w:rsidRPr="00947779">
        <w:rPr>
          <w:rFonts w:ascii="Century Schoolbook" w:hAnsi="Century Schoolbook"/>
          <w:sz w:val="24"/>
          <w:szCs w:val="24"/>
        </w:rPr>
        <w:t>will always ask routine biographical questions. Any additional questions sought by the parties must be listed in the Proposed Pretrial Order, divided into (a) agreed-upon questions and (b) proposed questions to which one party objects. A short basis for any objection should accompany the list. Each side is limited to 12 proposed disputed questions,</w:t>
      </w:r>
      <w:r w:rsidR="008D6EC7">
        <w:rPr>
          <w:rFonts w:ascii="Century Schoolbook" w:hAnsi="Century Schoolbook"/>
          <w:sz w:val="24"/>
          <w:szCs w:val="24"/>
        </w:rPr>
        <w:t xml:space="preserve"> </w:t>
      </w:r>
      <w:r w:rsidRPr="00947779">
        <w:rPr>
          <w:rFonts w:ascii="Century Schoolbook" w:hAnsi="Century Schoolbook"/>
          <w:sz w:val="24"/>
          <w:szCs w:val="24"/>
        </w:rPr>
        <w:t xml:space="preserve">unless a motion is filed before the pretrial conference that explains good cause for proposing more than the limit. </w:t>
      </w:r>
    </w:p>
    <w:p w14:paraId="3A982CF2" w14:textId="77777777" w:rsidR="008D6EC7" w:rsidRDefault="008D6EC7" w:rsidP="008D6EC7">
      <w:pPr>
        <w:spacing w:after="0" w:line="240" w:lineRule="auto"/>
        <w:ind w:firstLine="720"/>
        <w:jc w:val="both"/>
        <w:rPr>
          <w:rFonts w:ascii="Century Schoolbook" w:hAnsi="Century Schoolbook"/>
          <w:sz w:val="24"/>
          <w:szCs w:val="24"/>
        </w:rPr>
      </w:pPr>
    </w:p>
    <w:p w14:paraId="6AD60C8B" w14:textId="3472EDF2" w:rsidR="008D6EC7" w:rsidRDefault="004B0A85" w:rsidP="008D6EC7">
      <w:pPr>
        <w:spacing w:after="0" w:line="240" w:lineRule="auto"/>
        <w:ind w:firstLine="720"/>
        <w:jc w:val="both"/>
        <w:rPr>
          <w:rFonts w:ascii="Century Schoolbook" w:hAnsi="Century Schoolbook"/>
          <w:sz w:val="24"/>
          <w:szCs w:val="24"/>
        </w:rPr>
      </w:pPr>
      <w:r w:rsidRPr="00947779">
        <w:rPr>
          <w:rFonts w:ascii="Century Schoolbook" w:hAnsi="Century Schoolbook"/>
          <w:sz w:val="24"/>
          <w:szCs w:val="24"/>
        </w:rPr>
        <w:t xml:space="preserve">12. </w:t>
      </w:r>
      <w:r w:rsidRPr="008D6EC7">
        <w:rPr>
          <w:rFonts w:ascii="Century Schoolbook" w:hAnsi="Century Schoolbook"/>
          <w:i/>
          <w:iCs/>
          <w:sz w:val="24"/>
          <w:szCs w:val="24"/>
        </w:rPr>
        <w:t>Jury Instructions/Verdict Forms</w:t>
      </w:r>
      <w:r w:rsidRPr="00947779">
        <w:rPr>
          <w:rFonts w:ascii="Century Schoolbook" w:hAnsi="Century Schoolbook"/>
          <w:sz w:val="24"/>
          <w:szCs w:val="24"/>
        </w:rPr>
        <w:t xml:space="preserve">. The parties must meet and confer </w:t>
      </w:r>
      <w:proofErr w:type="gramStart"/>
      <w:r w:rsidR="008D6EC7">
        <w:rPr>
          <w:rFonts w:ascii="Century Schoolbook" w:hAnsi="Century Schoolbook"/>
          <w:sz w:val="24"/>
          <w:szCs w:val="24"/>
        </w:rPr>
        <w:t xml:space="preserve">in an </w:t>
      </w:r>
      <w:r w:rsidRPr="00947779">
        <w:rPr>
          <w:rFonts w:ascii="Century Schoolbook" w:hAnsi="Century Schoolbook"/>
          <w:sz w:val="24"/>
          <w:szCs w:val="24"/>
        </w:rPr>
        <w:t>attempt to</w:t>
      </w:r>
      <w:proofErr w:type="gramEnd"/>
      <w:r w:rsidRPr="00947779">
        <w:rPr>
          <w:rFonts w:ascii="Century Schoolbook" w:hAnsi="Century Schoolbook"/>
          <w:sz w:val="24"/>
          <w:szCs w:val="24"/>
        </w:rPr>
        <w:t xml:space="preserve"> agree on jury instructions and verdict forms. Using the template available on </w:t>
      </w:r>
      <w:r w:rsidR="0025115A">
        <w:rPr>
          <w:rFonts w:ascii="Century Schoolbook" w:hAnsi="Century Schoolbook"/>
          <w:sz w:val="24"/>
          <w:szCs w:val="24"/>
        </w:rPr>
        <w:t>Judge Alexakis</w:t>
      </w:r>
      <w:r w:rsidRPr="00947779">
        <w:rPr>
          <w:rFonts w:ascii="Century Schoolbook" w:hAnsi="Century Schoolbook"/>
          <w:sz w:val="24"/>
          <w:szCs w:val="24"/>
        </w:rPr>
        <w:t xml:space="preserve">’ webpage, the parties should compile and set forth the complete text of all proposed instructions and identify: the proponent of the instruction, the Seventh Circuit Pattern Instruction if applicable, the legal authority for the instruction, and whether there is an objection to the instruction. If an instruction is disputed, the proponent of the instruction should concisely explain the basis for the instruction, if more explanation is required beyond the identified legal authority. Moreover, if an instruction is disputed, the objecting party must concisely state the grounds for the objection, as well as any proposed modification or alternative. The same principles apply to proposed verdict forms. The proposed jury instructions and </w:t>
      </w:r>
      <w:r w:rsidRPr="00947779">
        <w:rPr>
          <w:rFonts w:ascii="Century Schoolbook" w:hAnsi="Century Schoolbook"/>
          <w:sz w:val="24"/>
          <w:szCs w:val="24"/>
        </w:rPr>
        <w:lastRenderedPageBreak/>
        <w:t xml:space="preserve">verdict forms must be filed on the docket </w:t>
      </w:r>
      <w:proofErr w:type="gramStart"/>
      <w:r w:rsidRPr="00947779">
        <w:rPr>
          <w:rFonts w:ascii="Century Schoolbook" w:hAnsi="Century Schoolbook"/>
          <w:sz w:val="24"/>
          <w:szCs w:val="24"/>
        </w:rPr>
        <w:t>and also</w:t>
      </w:r>
      <w:proofErr w:type="gramEnd"/>
      <w:r w:rsidRPr="00947779">
        <w:rPr>
          <w:rFonts w:ascii="Century Schoolbook" w:hAnsi="Century Schoolbook"/>
          <w:sz w:val="24"/>
          <w:szCs w:val="24"/>
        </w:rPr>
        <w:t xml:space="preserve"> submitted in Microsoft Word format by email to Proposed_Order_</w:t>
      </w:r>
      <w:r w:rsidR="008D6EC7">
        <w:rPr>
          <w:rFonts w:ascii="Century Schoolbook" w:hAnsi="Century Schoolbook"/>
          <w:sz w:val="24"/>
          <w:szCs w:val="24"/>
        </w:rPr>
        <w:t>Alexakis</w:t>
      </w:r>
      <w:r w:rsidRPr="00947779">
        <w:rPr>
          <w:rFonts w:ascii="Century Schoolbook" w:hAnsi="Century Schoolbook"/>
          <w:sz w:val="24"/>
          <w:szCs w:val="24"/>
        </w:rPr>
        <w:t xml:space="preserve">@ilnd.uscourts.gov. </w:t>
      </w:r>
    </w:p>
    <w:p w14:paraId="573A0731" w14:textId="77777777" w:rsidR="008D6EC7" w:rsidRDefault="008D6EC7" w:rsidP="008D6EC7">
      <w:pPr>
        <w:spacing w:after="0" w:line="240" w:lineRule="auto"/>
        <w:ind w:firstLine="720"/>
        <w:jc w:val="both"/>
        <w:rPr>
          <w:rFonts w:ascii="Century Schoolbook" w:hAnsi="Century Schoolbook"/>
          <w:sz w:val="24"/>
          <w:szCs w:val="24"/>
        </w:rPr>
      </w:pPr>
    </w:p>
    <w:p w14:paraId="0889C5CA" w14:textId="4F4D7811" w:rsidR="008D6EC7" w:rsidRDefault="004B0A85" w:rsidP="008D6EC7">
      <w:pPr>
        <w:spacing w:after="0" w:line="240" w:lineRule="auto"/>
        <w:ind w:firstLine="720"/>
        <w:jc w:val="both"/>
        <w:rPr>
          <w:rFonts w:ascii="Century Schoolbook" w:hAnsi="Century Schoolbook"/>
          <w:sz w:val="24"/>
          <w:szCs w:val="24"/>
        </w:rPr>
      </w:pPr>
      <w:r w:rsidRPr="00947779">
        <w:rPr>
          <w:rFonts w:ascii="Century Schoolbook" w:hAnsi="Century Schoolbook"/>
          <w:sz w:val="24"/>
          <w:szCs w:val="24"/>
        </w:rPr>
        <w:t xml:space="preserve">13. </w:t>
      </w:r>
      <w:r w:rsidRPr="00A06AEA">
        <w:rPr>
          <w:rFonts w:ascii="Century Schoolbook" w:hAnsi="Century Schoolbook"/>
          <w:i/>
          <w:iCs/>
          <w:sz w:val="24"/>
          <w:szCs w:val="24"/>
        </w:rPr>
        <w:t>Evidence Presentation System</w:t>
      </w:r>
      <w:r w:rsidRPr="00947779">
        <w:rPr>
          <w:rFonts w:ascii="Century Schoolbook" w:hAnsi="Century Schoolbook"/>
          <w:sz w:val="24"/>
          <w:szCs w:val="24"/>
        </w:rPr>
        <w:t xml:space="preserve">. Judge </w:t>
      </w:r>
      <w:r w:rsidR="008D6EC7">
        <w:rPr>
          <w:rFonts w:ascii="Century Schoolbook" w:hAnsi="Century Schoolbook"/>
          <w:sz w:val="24"/>
          <w:szCs w:val="24"/>
        </w:rPr>
        <w:t>Alexakis</w:t>
      </w:r>
      <w:r w:rsidRPr="00947779">
        <w:rPr>
          <w:rFonts w:ascii="Century Schoolbook" w:hAnsi="Century Schoolbook"/>
          <w:sz w:val="24"/>
          <w:szCs w:val="24"/>
        </w:rPr>
        <w:t>’</w:t>
      </w:r>
      <w:r w:rsidR="008D6EC7">
        <w:rPr>
          <w:rFonts w:ascii="Century Schoolbook" w:hAnsi="Century Schoolbook"/>
          <w:sz w:val="24"/>
          <w:szCs w:val="24"/>
        </w:rPr>
        <w:t>s</w:t>
      </w:r>
      <w:r w:rsidRPr="00947779">
        <w:rPr>
          <w:rFonts w:ascii="Century Schoolbook" w:hAnsi="Century Schoolbook"/>
          <w:sz w:val="24"/>
          <w:szCs w:val="24"/>
        </w:rPr>
        <w:t xml:space="preserve"> courtroom has evidence presentation equipment allowing exhibits (including video and audio files) to be projected and displayed to witnesses, the court, counsel, and the jury. The jurors have individual screens. This equipment will be used as the default method of displaying exhibits to the jury. </w:t>
      </w:r>
    </w:p>
    <w:p w14:paraId="3F2B3A9F" w14:textId="77777777" w:rsidR="008D6EC7" w:rsidRDefault="008D6EC7" w:rsidP="008D6EC7">
      <w:pPr>
        <w:spacing w:after="0" w:line="240" w:lineRule="auto"/>
        <w:ind w:firstLine="720"/>
        <w:jc w:val="both"/>
        <w:rPr>
          <w:rFonts w:ascii="Century Schoolbook" w:hAnsi="Century Schoolbook"/>
          <w:sz w:val="24"/>
          <w:szCs w:val="24"/>
        </w:rPr>
      </w:pPr>
    </w:p>
    <w:p w14:paraId="0203E099" w14:textId="77777777" w:rsidR="008D6EC7" w:rsidRDefault="004B0A85" w:rsidP="008D6EC7">
      <w:pPr>
        <w:spacing w:after="0" w:line="240" w:lineRule="auto"/>
        <w:ind w:firstLine="720"/>
        <w:jc w:val="both"/>
        <w:rPr>
          <w:rFonts w:ascii="Century Schoolbook" w:hAnsi="Century Schoolbook"/>
          <w:sz w:val="24"/>
          <w:szCs w:val="24"/>
        </w:rPr>
      </w:pPr>
      <w:r w:rsidRPr="00947779">
        <w:rPr>
          <w:rFonts w:ascii="Century Schoolbook" w:hAnsi="Century Schoolbook"/>
          <w:sz w:val="24"/>
          <w:szCs w:val="24"/>
        </w:rPr>
        <w:t xml:space="preserve">14. </w:t>
      </w:r>
      <w:r w:rsidRPr="008D6EC7">
        <w:rPr>
          <w:rFonts w:ascii="Century Schoolbook" w:hAnsi="Century Schoolbook"/>
          <w:i/>
          <w:iCs/>
          <w:sz w:val="24"/>
          <w:szCs w:val="24"/>
        </w:rPr>
        <w:t>Trial Briefs</w:t>
      </w:r>
      <w:r w:rsidRPr="00947779">
        <w:rPr>
          <w:rFonts w:ascii="Century Schoolbook" w:hAnsi="Century Schoolbook"/>
          <w:sz w:val="24"/>
          <w:szCs w:val="24"/>
        </w:rPr>
        <w:t xml:space="preserve">. Judge </w:t>
      </w:r>
      <w:r w:rsidR="008D6EC7">
        <w:rPr>
          <w:rFonts w:ascii="Century Schoolbook" w:hAnsi="Century Schoolbook"/>
          <w:sz w:val="24"/>
          <w:szCs w:val="24"/>
        </w:rPr>
        <w:t xml:space="preserve">Alexakis </w:t>
      </w:r>
      <w:r w:rsidRPr="00947779">
        <w:rPr>
          <w:rFonts w:ascii="Century Schoolbook" w:hAnsi="Century Schoolbook"/>
          <w:sz w:val="24"/>
          <w:szCs w:val="24"/>
        </w:rPr>
        <w:t xml:space="preserve">does not require trial briefs in jury trials. Parties who wish to file a trial brief must seek leave of Court to do so. </w:t>
      </w:r>
    </w:p>
    <w:p w14:paraId="529C2AC3" w14:textId="77777777" w:rsidR="008D6EC7" w:rsidRDefault="008D6EC7" w:rsidP="008D6EC7">
      <w:pPr>
        <w:spacing w:after="0" w:line="240" w:lineRule="auto"/>
        <w:ind w:firstLine="720"/>
        <w:jc w:val="both"/>
        <w:rPr>
          <w:rFonts w:ascii="Century Schoolbook" w:hAnsi="Century Schoolbook"/>
          <w:sz w:val="24"/>
          <w:szCs w:val="24"/>
        </w:rPr>
      </w:pPr>
    </w:p>
    <w:p w14:paraId="3988AD9E" w14:textId="0D4E475F" w:rsidR="004B0A85" w:rsidRPr="00947779" w:rsidRDefault="004B0A85" w:rsidP="008D6EC7">
      <w:pPr>
        <w:spacing w:after="0" w:line="240" w:lineRule="auto"/>
        <w:ind w:firstLine="720"/>
        <w:jc w:val="both"/>
        <w:rPr>
          <w:rFonts w:ascii="Century Schoolbook" w:hAnsi="Century Schoolbook"/>
          <w:sz w:val="24"/>
          <w:szCs w:val="24"/>
        </w:rPr>
      </w:pPr>
      <w:r w:rsidRPr="00947779">
        <w:rPr>
          <w:rFonts w:ascii="Century Schoolbook" w:hAnsi="Century Schoolbook"/>
          <w:sz w:val="24"/>
          <w:szCs w:val="24"/>
        </w:rPr>
        <w:t xml:space="preserve">15. </w:t>
      </w:r>
      <w:r w:rsidRPr="008D6EC7">
        <w:rPr>
          <w:rFonts w:ascii="Century Schoolbook" w:hAnsi="Century Schoolbook"/>
          <w:i/>
          <w:iCs/>
          <w:sz w:val="24"/>
          <w:szCs w:val="24"/>
        </w:rPr>
        <w:t>Signature</w:t>
      </w:r>
      <w:r w:rsidRPr="00947779">
        <w:rPr>
          <w:rFonts w:ascii="Century Schoolbook" w:hAnsi="Century Schoolbook"/>
          <w:sz w:val="24"/>
          <w:szCs w:val="24"/>
        </w:rPr>
        <w:t xml:space="preserve">. The Proposed Pretrial Order must be signed (electronically) by counsel for each party. </w:t>
      </w:r>
    </w:p>
    <w:sectPr w:rsidR="004B0A85" w:rsidRPr="00947779">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841B5C" w14:textId="77777777" w:rsidR="003E35BC" w:rsidRDefault="003E35BC" w:rsidP="008D6EC7">
      <w:pPr>
        <w:spacing w:after="0" w:line="240" w:lineRule="auto"/>
      </w:pPr>
      <w:r>
        <w:separator/>
      </w:r>
    </w:p>
  </w:endnote>
  <w:endnote w:type="continuationSeparator" w:id="0">
    <w:p w14:paraId="3AF9EADB" w14:textId="77777777" w:rsidR="003E35BC" w:rsidRDefault="003E35BC" w:rsidP="008D6E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98811227"/>
      <w:docPartObj>
        <w:docPartGallery w:val="Page Numbers (Bottom of Page)"/>
        <w:docPartUnique/>
      </w:docPartObj>
    </w:sdtPr>
    <w:sdtEndPr>
      <w:rPr>
        <w:rFonts w:ascii="Century Schoolbook" w:hAnsi="Century Schoolbook"/>
        <w:noProof/>
      </w:rPr>
    </w:sdtEndPr>
    <w:sdtContent>
      <w:p w14:paraId="28897E00" w14:textId="2F4709EF" w:rsidR="008D6EC7" w:rsidRPr="008D6EC7" w:rsidRDefault="008D6EC7">
        <w:pPr>
          <w:pStyle w:val="Footer"/>
          <w:jc w:val="center"/>
          <w:rPr>
            <w:rFonts w:ascii="Century Schoolbook" w:hAnsi="Century Schoolbook"/>
          </w:rPr>
        </w:pPr>
        <w:r w:rsidRPr="008D6EC7">
          <w:rPr>
            <w:rFonts w:ascii="Century Schoolbook" w:hAnsi="Century Schoolbook"/>
          </w:rPr>
          <w:fldChar w:fldCharType="begin"/>
        </w:r>
        <w:r w:rsidRPr="008D6EC7">
          <w:rPr>
            <w:rFonts w:ascii="Century Schoolbook" w:hAnsi="Century Schoolbook"/>
          </w:rPr>
          <w:instrText xml:space="preserve"> PAGE   \* MERGEFORMAT </w:instrText>
        </w:r>
        <w:r w:rsidRPr="008D6EC7">
          <w:rPr>
            <w:rFonts w:ascii="Century Schoolbook" w:hAnsi="Century Schoolbook"/>
          </w:rPr>
          <w:fldChar w:fldCharType="separate"/>
        </w:r>
        <w:r w:rsidRPr="008D6EC7">
          <w:rPr>
            <w:rFonts w:ascii="Century Schoolbook" w:hAnsi="Century Schoolbook"/>
            <w:noProof/>
          </w:rPr>
          <w:t>2</w:t>
        </w:r>
        <w:r w:rsidRPr="008D6EC7">
          <w:rPr>
            <w:rFonts w:ascii="Century Schoolbook" w:hAnsi="Century Schoolbook"/>
            <w:noProof/>
          </w:rPr>
          <w:fldChar w:fldCharType="end"/>
        </w:r>
      </w:p>
    </w:sdtContent>
  </w:sdt>
  <w:p w14:paraId="29006D7B" w14:textId="77777777" w:rsidR="008D6EC7" w:rsidRDefault="008D6E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2AB47D" w14:textId="77777777" w:rsidR="003E35BC" w:rsidRDefault="003E35BC" w:rsidP="008D6EC7">
      <w:pPr>
        <w:spacing w:after="0" w:line="240" w:lineRule="auto"/>
      </w:pPr>
      <w:r>
        <w:separator/>
      </w:r>
    </w:p>
  </w:footnote>
  <w:footnote w:type="continuationSeparator" w:id="0">
    <w:p w14:paraId="22DD5A31" w14:textId="77777777" w:rsidR="003E35BC" w:rsidRDefault="003E35BC" w:rsidP="008D6E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1E3BD7"/>
    <w:multiLevelType w:val="hybridMultilevel"/>
    <w:tmpl w:val="BF525C44"/>
    <w:lvl w:ilvl="0" w:tplc="AA7E55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86529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A85"/>
    <w:rsid w:val="000A1E8C"/>
    <w:rsid w:val="000A7E85"/>
    <w:rsid w:val="000B3D71"/>
    <w:rsid w:val="000C74C9"/>
    <w:rsid w:val="000F44BC"/>
    <w:rsid w:val="00123DDC"/>
    <w:rsid w:val="00141844"/>
    <w:rsid w:val="001859EE"/>
    <w:rsid w:val="0020675E"/>
    <w:rsid w:val="0021471B"/>
    <w:rsid w:val="00237524"/>
    <w:rsid w:val="00240DB3"/>
    <w:rsid w:val="0025115A"/>
    <w:rsid w:val="00307DD1"/>
    <w:rsid w:val="0032742A"/>
    <w:rsid w:val="00357E45"/>
    <w:rsid w:val="003B70A5"/>
    <w:rsid w:val="003E35BC"/>
    <w:rsid w:val="00453CCB"/>
    <w:rsid w:val="004B0A85"/>
    <w:rsid w:val="005565F2"/>
    <w:rsid w:val="005E36A3"/>
    <w:rsid w:val="005F513B"/>
    <w:rsid w:val="006008D3"/>
    <w:rsid w:val="00670BB2"/>
    <w:rsid w:val="006D0C0C"/>
    <w:rsid w:val="006E192F"/>
    <w:rsid w:val="007E644E"/>
    <w:rsid w:val="007F1225"/>
    <w:rsid w:val="008D6EC7"/>
    <w:rsid w:val="00947779"/>
    <w:rsid w:val="009E605E"/>
    <w:rsid w:val="00A06AEA"/>
    <w:rsid w:val="00A90BD3"/>
    <w:rsid w:val="00A95E22"/>
    <w:rsid w:val="00BB513C"/>
    <w:rsid w:val="00C90652"/>
    <w:rsid w:val="00CD014C"/>
    <w:rsid w:val="00D83153"/>
    <w:rsid w:val="00D9490E"/>
    <w:rsid w:val="00DB327C"/>
    <w:rsid w:val="00DF3FDB"/>
    <w:rsid w:val="00EA1F35"/>
    <w:rsid w:val="00FB13F8"/>
    <w:rsid w:val="00FC24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BCB4C"/>
  <w15:chartTrackingRefBased/>
  <w15:docId w15:val="{A89363EE-6B50-4C48-A0D4-399DEAAEF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B0A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B0A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B0A8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B0A8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B0A8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B0A8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B0A8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B0A8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B0A8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0A8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B0A8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B0A8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B0A8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B0A8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B0A8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B0A8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B0A8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B0A85"/>
    <w:rPr>
      <w:rFonts w:eastAsiaTheme="majorEastAsia" w:cstheme="majorBidi"/>
      <w:color w:val="272727" w:themeColor="text1" w:themeTint="D8"/>
    </w:rPr>
  </w:style>
  <w:style w:type="paragraph" w:styleId="Title">
    <w:name w:val="Title"/>
    <w:basedOn w:val="Normal"/>
    <w:next w:val="Normal"/>
    <w:link w:val="TitleChar"/>
    <w:uiPriority w:val="10"/>
    <w:qFormat/>
    <w:rsid w:val="004B0A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0A8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B0A8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B0A8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B0A85"/>
    <w:pPr>
      <w:spacing w:before="160"/>
      <w:jc w:val="center"/>
    </w:pPr>
    <w:rPr>
      <w:i/>
      <w:iCs/>
      <w:color w:val="404040" w:themeColor="text1" w:themeTint="BF"/>
    </w:rPr>
  </w:style>
  <w:style w:type="character" w:customStyle="1" w:styleId="QuoteChar">
    <w:name w:val="Quote Char"/>
    <w:basedOn w:val="DefaultParagraphFont"/>
    <w:link w:val="Quote"/>
    <w:uiPriority w:val="29"/>
    <w:rsid w:val="004B0A85"/>
    <w:rPr>
      <w:i/>
      <w:iCs/>
      <w:color w:val="404040" w:themeColor="text1" w:themeTint="BF"/>
    </w:rPr>
  </w:style>
  <w:style w:type="paragraph" w:styleId="ListParagraph">
    <w:name w:val="List Paragraph"/>
    <w:basedOn w:val="Normal"/>
    <w:uiPriority w:val="34"/>
    <w:qFormat/>
    <w:rsid w:val="004B0A85"/>
    <w:pPr>
      <w:ind w:left="720"/>
      <w:contextualSpacing/>
    </w:pPr>
  </w:style>
  <w:style w:type="character" w:styleId="IntenseEmphasis">
    <w:name w:val="Intense Emphasis"/>
    <w:basedOn w:val="DefaultParagraphFont"/>
    <w:uiPriority w:val="21"/>
    <w:qFormat/>
    <w:rsid w:val="004B0A85"/>
    <w:rPr>
      <w:i/>
      <w:iCs/>
      <w:color w:val="0F4761" w:themeColor="accent1" w:themeShade="BF"/>
    </w:rPr>
  </w:style>
  <w:style w:type="paragraph" w:styleId="IntenseQuote">
    <w:name w:val="Intense Quote"/>
    <w:basedOn w:val="Normal"/>
    <w:next w:val="Normal"/>
    <w:link w:val="IntenseQuoteChar"/>
    <w:uiPriority w:val="30"/>
    <w:qFormat/>
    <w:rsid w:val="004B0A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B0A85"/>
    <w:rPr>
      <w:i/>
      <w:iCs/>
      <w:color w:val="0F4761" w:themeColor="accent1" w:themeShade="BF"/>
    </w:rPr>
  </w:style>
  <w:style w:type="character" w:styleId="IntenseReference">
    <w:name w:val="Intense Reference"/>
    <w:basedOn w:val="DefaultParagraphFont"/>
    <w:uiPriority w:val="32"/>
    <w:qFormat/>
    <w:rsid w:val="004B0A85"/>
    <w:rPr>
      <w:b/>
      <w:bCs/>
      <w:smallCaps/>
      <w:color w:val="0F4761" w:themeColor="accent1" w:themeShade="BF"/>
      <w:spacing w:val="5"/>
    </w:rPr>
  </w:style>
  <w:style w:type="paragraph" w:styleId="Header">
    <w:name w:val="header"/>
    <w:basedOn w:val="Normal"/>
    <w:link w:val="HeaderChar"/>
    <w:uiPriority w:val="99"/>
    <w:unhideWhenUsed/>
    <w:rsid w:val="008D6E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6EC7"/>
  </w:style>
  <w:style w:type="paragraph" w:styleId="Footer">
    <w:name w:val="footer"/>
    <w:basedOn w:val="Normal"/>
    <w:link w:val="FooterChar"/>
    <w:uiPriority w:val="99"/>
    <w:unhideWhenUsed/>
    <w:rsid w:val="008D6E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6EC7"/>
  </w:style>
  <w:style w:type="character" w:styleId="Hyperlink">
    <w:name w:val="Hyperlink"/>
    <w:basedOn w:val="DefaultParagraphFont"/>
    <w:uiPriority w:val="99"/>
    <w:unhideWhenUsed/>
    <w:rsid w:val="000B3D71"/>
    <w:rPr>
      <w:color w:val="467886" w:themeColor="hyperlink"/>
      <w:u w:val="single"/>
    </w:rPr>
  </w:style>
  <w:style w:type="character" w:customStyle="1" w:styleId="cf01">
    <w:name w:val="cf01"/>
    <w:basedOn w:val="DefaultParagraphFont"/>
    <w:rsid w:val="000B3D71"/>
    <w:rPr>
      <w:rFonts w:ascii="Segoe UI" w:hAnsi="Segoe UI" w:cs="Segoe UI" w:hint="default"/>
      <w:color w:val="333333"/>
      <w:sz w:val="18"/>
      <w:szCs w:val="1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5</Pages>
  <Words>1848</Words>
  <Characters>10539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Georgia Alexakis</dc:creator>
  <cp:keywords/>
  <dc:description/>
  <cp:lastModifiedBy>Georgia Alexakis</cp:lastModifiedBy>
  <cp:revision>33</cp:revision>
  <dcterms:created xsi:type="dcterms:W3CDTF">2024-08-05T16:34:00Z</dcterms:created>
  <dcterms:modified xsi:type="dcterms:W3CDTF">2024-08-22T17:25:00Z</dcterms:modified>
</cp:coreProperties>
</file>